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127" w14:textId="f377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Горького көшесі, 64 үй мекенжайында орналасқан 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3 шілдедегі № 583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Горького көшесі, 64 үй мекенжайында орналасқан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19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29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39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49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59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Горького көшесі, 64 үй, 67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