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33ee" w14:textId="8a93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Қазанбасы ауылдық округі әкімінің 2024 жылғы 3 қазандағы № 4 шешімі. Күші жойылды - Қостанай облысы Әулиекөл ауданы Қазанбасы ауылдық округі әкімінің 2024 жылғы 5 желтоқсандағы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Қазанбасы ауылдық округі әкімінің 05.12.2024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Әулиекөл ауданының бас мемлекеттік ветеринариялық-санитариялық инспекторының 2024 жылғы 1 қазандағы ұсынысы негізінде № 01-22/515 ШЕШТІ:</w:t>
      </w:r>
    </w:p>
    <w:bookmarkStart w:name="z5" w:id="1"/>
    <w:p>
      <w:pPr>
        <w:spacing w:after="0"/>
        <w:ind w:left="0"/>
        <w:jc w:val="both"/>
      </w:pPr>
      <w:r>
        <w:rPr>
          <w:rFonts w:ascii="Times New Roman"/>
          <w:b w:val="false"/>
          <w:i w:val="false"/>
          <w:color w:val="000000"/>
          <w:sz w:val="28"/>
        </w:rPr>
        <w:t>
      1. Қостанай облысы Әулиекөл ауданы, Қазанбасы ауылдық округі, Дәңгірбай ауылының аумағында ірі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"Қазанбасы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