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cbe8" w14:textId="443c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15 ақпаннан бастап 2025 жылғы 15 ақпанды қоса алғандағы кезеңге аң аулау объектілері болып табылатын жануарлар түрлерін алып қою лимитін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15 ақпандағы № 32-П бұйрығы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55) тармақшасына сәйкес БҰЙЫРАМЫН:</w:t>
      </w:r>
    </w:p>
    <w:bookmarkEnd w:id="0"/>
    <w:bookmarkStart w:name="z2" w:id="1"/>
    <w:p>
      <w:pPr>
        <w:spacing w:after="0"/>
        <w:ind w:left="0"/>
        <w:jc w:val="both"/>
      </w:pPr>
      <w:r>
        <w:rPr>
          <w:rFonts w:ascii="Times New Roman"/>
          <w:b w:val="false"/>
          <w:i w:val="false"/>
          <w:color w:val="000000"/>
          <w:sz w:val="28"/>
        </w:rPr>
        <w:t>
      1. 2024 жылғы 15 ақпаннан бастап 2025 жылғы 15 ақпанды қоса алғандағы кезеңге аң аулау объектілері болып табылатын жануарлар түрлерін алып қою лимиті бекітілсін.</w:t>
      </w:r>
    </w:p>
    <w:bookmarkEnd w:id="1"/>
    <w:bookmarkStart w:name="z3" w:id="2"/>
    <w:p>
      <w:pPr>
        <w:spacing w:after="0"/>
        <w:ind w:left="0"/>
        <w:jc w:val="both"/>
      </w:pPr>
      <w:r>
        <w:rPr>
          <w:rFonts w:ascii="Times New Roman"/>
          <w:b w:val="false"/>
          <w:i w:val="false"/>
          <w:color w:val="000000"/>
          <w:sz w:val="28"/>
        </w:rPr>
        <w:t>
      2. Тұяқты жануарларды ғылыми мақсатта алып қою 2024 жылғы 31 желтоқсанға дейін жүргізілсін.</w:t>
      </w:r>
    </w:p>
    <w:bookmarkEnd w:id="2"/>
    <w:bookmarkStart w:name="z4" w:id="3"/>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Респуликасы Экология және табиғи ресурстар министрлігінің интернет - ресурсында орналастыруды қамтамасыз ету.</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2024 жылғы 15 ақпаннан бастап 2025 жылғы 15 ақпанды қоса алғандағы кезеңге аң аулау объектілері болып табылатын жануарлар түрлерін алып қою лимиті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Жабайы шошқа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Құдыр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Елiк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Тау-теке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Қоңыр аю (Тяньшаннан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Сілеусін (Түркістандікінен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Жанат тәрізді ит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Түлкі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күзен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Борсық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Кәмшат (Орта азиялықтан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Аққіс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Сары кұзен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Сарғыш кұзен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Қасқыр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Саршұнақ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Сасық құзен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Зорман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Ондатр.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Құндыз.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389662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284822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Балшықшылар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Меңіреу.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Сұрқұр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1848290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Қырғауыл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Гималай ұлары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Кекілік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Бөдене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141045</w:t>
            </w:r>
          </w:p>
        </w:tc>
      </w:tr>
    </w:tbl>
    <w:bookmarkStart w:name="z12" w:id="9"/>
    <w:p>
      <w:pPr>
        <w:spacing w:after="0"/>
        <w:ind w:left="0"/>
        <w:jc w:val="both"/>
      </w:pPr>
      <w:r>
        <w:rPr>
          <w:rFonts w:ascii="Times New Roman"/>
          <w:b w:val="false"/>
          <w:i w:val="false"/>
          <w:color w:val="000000"/>
          <w:sz w:val="28"/>
        </w:rPr>
        <w:t>
      Ескертпе: аңшылық шаруашылықтарының резервтік қорында аң аулауды қоса алғанда.</w:t>
      </w:r>
    </w:p>
    <w:bookmarkEnd w:id="9"/>
    <w:bookmarkStart w:name="z13" w:id="10"/>
    <w:p>
      <w:pPr>
        <w:spacing w:after="0"/>
        <w:ind w:left="0"/>
        <w:jc w:val="left"/>
      </w:pPr>
      <w:r>
        <w:rPr>
          <w:rFonts w:ascii="Times New Roman"/>
          <w:b/>
          <w:i w:val="false"/>
          <w:color w:val="000000"/>
        </w:rPr>
        <w:t xml:space="preserve"> Жануарлар дүниесі объектілерін ғылыми мақсатта алып қоюға квоталар  (аңшылық алқаптарының резервтік қоры шегінде)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Жабайы шошқа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 теке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Қоңыр аю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Сілеусін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Түлкі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Борсық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Қоян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Суыр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Құндыз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Шіл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r>
    </w:tbl>
    <w:bookmarkStart w:name="z14" w:id="11"/>
    <w:p>
      <w:pPr>
        <w:spacing w:after="0"/>
        <w:ind w:left="0"/>
        <w:jc w:val="both"/>
      </w:pPr>
      <w:r>
        <w:rPr>
          <w:rFonts w:ascii="Times New Roman"/>
          <w:b w:val="false"/>
          <w:i w:val="false"/>
          <w:color w:val="000000"/>
          <w:sz w:val="28"/>
        </w:rPr>
        <w:t>
      Ескерту: Ғылыми мақсаттарда алып қоюға ұсынылған квоталар ғылыми ұйымдар мен ветеринарлық зертханалар үшін кепілдендірілген болып табылады.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