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78cb" w14:textId="0f57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2023 жылғы 26 маусымдағы "Павлодар қаласында коммуналдық көрсетілетін қызметтерді ұсыну Қағидаларын бекіту туралы" № 847/2 қаулысына өзгеріс енгізу туралы</w:t>
      </w:r>
    </w:p>
    <w:p>
      <w:pPr>
        <w:spacing w:after="0"/>
        <w:ind w:left="0"/>
        <w:jc w:val="both"/>
      </w:pPr>
      <w:r>
        <w:rPr>
          <w:rFonts w:ascii="Times New Roman"/>
          <w:b w:val="false"/>
          <w:i w:val="false"/>
          <w:color w:val="000000"/>
          <w:sz w:val="28"/>
        </w:rPr>
        <w:t>Павлодар облысы Павлодар қаласы әкімдігінің 2024 жылғы 24 сәуірдегі № 470/1 қаулысы</w:t>
      </w:r>
    </w:p>
    <w:p>
      <w:pPr>
        <w:spacing w:after="0"/>
        <w:ind w:left="0"/>
        <w:jc w:val="both"/>
      </w:pPr>
      <w:bookmarkStart w:name="z1" w:id="0"/>
      <w:r>
        <w:rPr>
          <w:rFonts w:ascii="Times New Roman"/>
          <w:b w:val="false"/>
          <w:i w:val="false"/>
          <w:color w:val="000000"/>
          <w:sz w:val="28"/>
        </w:rPr>
        <w:t>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2023 жылғы 26 маусымдағы "Павлодар қаласында коммуналдық көрсетілетін қызметтерді ұсыну Қағидаларын бекіту туралы" № 847/2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Хабылбеков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2024 жылғы 24 сәуірдегі</w:t>
            </w:r>
            <w:r>
              <w:br/>
            </w:r>
            <w:r>
              <w:rPr>
                <w:rFonts w:ascii="Times New Roman"/>
                <w:b w:val="false"/>
                <w:i w:val="false"/>
                <w:color w:val="000000"/>
                <w:sz w:val="20"/>
              </w:rPr>
              <w:t>№ 470/1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2023 жылғы 26 маусымдағы</w:t>
            </w:r>
            <w:r>
              <w:br/>
            </w:r>
            <w:r>
              <w:rPr>
                <w:rFonts w:ascii="Times New Roman"/>
                <w:b w:val="false"/>
                <w:i w:val="false"/>
                <w:color w:val="000000"/>
                <w:sz w:val="20"/>
              </w:rPr>
              <w:t>№ 847/2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қаласында коммуналдық көрсетілетін қызметтерді ұсынудың үлгілік қағидалары </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жәнемен ақы төлеу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9" w:id="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7"/>
    <w:bookmarkStart w:name="z10"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1" w:id="9"/>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9"/>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xml:space="preserve">
      22. Тұтынушы коммуналдық қызметтер үшін төлемді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8-тарау. Қорытынды ережелер</w:t>
      </w:r>
    </w:p>
    <w:bookmarkEnd w:id="46"/>
    <w:bookmarkStart w:name="z49" w:id="47"/>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47"/>
    <w:bookmarkStart w:name="z50" w:id="48"/>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r>
              <w:br/>
            </w:r>
            <w:r>
              <w:rPr>
                <w:rFonts w:ascii="Times New Roman"/>
                <w:b w:val="false"/>
                <w:i w:val="false"/>
                <w:color w:val="000000"/>
                <w:sz w:val="20"/>
              </w:rPr>
              <w:t>қызметтерді ұсынудың</w:t>
            </w:r>
            <w:r>
              <w:br/>
            </w:r>
            <w:r>
              <w:rPr>
                <w:rFonts w:ascii="Times New Roman"/>
                <w:b w:val="false"/>
                <w:i w:val="false"/>
                <w:color w:val="000000"/>
                <w:sz w:val="20"/>
              </w:rPr>
              <w:t>үлгілік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