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20d" w14:textId="48d4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23 желтоқсандағы "Ақсу қалалық мәслихатының аппараты" мемлекеттік мекемесі туралы Ережені бекіту туралы" № 108/14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4 желтоқсандағы № 170/28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23 желтоқсандағы "Ақсу қалалық мәслихатының аппараты" мемлекеттік мекемесі туралы Ережені бекіту туралы" № 108/14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 аппараты өз құзыретінің мәселелері бойынша заңнамада белгіленген тәртіппен Ақсу қаласы мәслихат төрағасының өкімдерімен рәсімделетін шешімдер қабылдайды.";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3-тарауда: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Мәслихат аппаратын басқаруды Ақсу қалалық мәслихатының төрағасы жүзеге асырады, ол Мәслихат аппаратына жүктелген міндеттердің орындалуына және оның өз өкілеттіктерін жүзеге асыруына дербес жауапты болады.";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Қалалық мәслихаттың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Қалалық мәслихат төрағасының өкілеттіктері:";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"16) Қазақстан Республикасының "Қазақстан Республикасындағы жергілікті мемлекеттік басқару және өзін-өзі басқару туралы" Заңында, мәслихаттың регламенті мен шешімінде көзделген өкілеттіктерді орындайды;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 төрағасысы болмаған кезде оның өкiлеттiгiн мәслихаттың тұрақты комиссияларының бiрiнiң төрағасы немесе мәслихат депутаты уақытша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Ақсу қалалық мәслихат төрағасы қалалық мәслихат аппараты басшысының өкілеттіктерін Қазақстан Республикасының "Қазақстан Республикасындағы жергілікті мемлекеттік басқару және өзін-өзі басқару туралы" Заңға және қолданыстағы заңнамаға сәйкес белгілейді.".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 аппаратының басшысына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