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feb9" w14:textId="cd0f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Ақсу қалалық мәслихатының 2024 жылғы 25 желтоқсандағы № 173/29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1.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2025 жылы жүз еселенген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2025 жылы тұрғын үй сатып алу немесе салу үшін әлеуметтік қолдау - айлық есептік көрсеткіштің екі мың еселенген мөлшерінен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