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18f4" w14:textId="b891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Екібастұз қаласының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шешімі</w:t>
      </w:r>
    </w:p>
    <w:p>
      <w:pPr>
        <w:spacing w:after="0"/>
        <w:ind w:left="0"/>
        <w:jc w:val="both"/>
      </w:pPr>
      <w:r>
        <w:rPr>
          <w:rFonts w:ascii="Times New Roman"/>
          <w:b w:val="false"/>
          <w:i w:val="false"/>
          <w:color w:val="000000"/>
          <w:sz w:val="28"/>
        </w:rPr>
        <w:t>Павлодар облысы Екібастұз қалалық мәслихатының 2024 жылғы 28 қарашадағы № 201/24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жүз еселенген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тұрғын үй сатып алу немесе салу үшін әлеуметтік қолдау - айлық есептік көрсеткіштің екі мың еселенген мөлшерінен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