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ac94" w14:textId="9efa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Түркістан облысы Кентау қалалық мәслихатының 2024 жылғы 13 желтоқсандағы № 157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Кентау қаласының елді мекендері аумағындағы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2021 жылғы 5 қазандағы № 79 "Кентау қалалық мәслихатының 2018 жылғы 24 мамырдағы № 160 "Кентау қалалық ауылдарының жергілікті қоғамдастық жиналысының регламентін бекіту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157 шешімімен бекітілген</w:t>
            </w:r>
          </w:p>
        </w:tc>
      </w:tr>
    </w:tbl>
    <w:bookmarkStart w:name="z6" w:id="4"/>
    <w:p>
      <w:pPr>
        <w:spacing w:after="0"/>
        <w:ind w:left="0"/>
        <w:jc w:val="left"/>
      </w:pPr>
      <w:r>
        <w:rPr>
          <w:rFonts w:ascii="Times New Roman"/>
          <w:b/>
          <w:i w:val="false"/>
          <w:color w:val="000000"/>
        </w:rPr>
        <w:t xml:space="preserve"> Кентау қаласының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Кентау қаласының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15630 болып тіркелген) сәйкес әзірленді.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өзгеде заңнамалық актілеріне сәйкес тиісті әкімшілік-аумақтық бөлініс тұрғындарының басым бөлігінің құқықтарымен заңды мүдделерін қамтамасыз етуге байланысты аудан, қала, ауыл, ауылдық округ, кент қызметінің мәселелері;</w:t>
      </w:r>
    </w:p>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сондай-ақ мәслихаттар және басқада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Қалалық маңызы бар қала,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өткізу тәртібі</w:t>
      </w:r>
    </w:p>
    <w:bookmarkEnd w:id="11"/>
    <w:bookmarkStart w:name="z14" w:id="1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есептік келісу;</w:t>
      </w:r>
    </w:p>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басқада ағымдағы мәселелерін талқылау.</w:t>
      </w:r>
    </w:p>
    <w:bookmarkStart w:name="z15" w:id="13"/>
    <w:p>
      <w:pPr>
        <w:spacing w:after="0"/>
        <w:ind w:left="0"/>
        <w:jc w:val="both"/>
      </w:pPr>
      <w:r>
        <w:rPr>
          <w:rFonts w:ascii="Times New Roman"/>
          <w:b w:val="false"/>
          <w:i w:val="false"/>
          <w:color w:val="000000"/>
          <w:sz w:val="28"/>
        </w:rPr>
        <w:t>
      7.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39-3-бабы</w:t>
      </w:r>
      <w:r>
        <w:rPr>
          <w:rFonts w:ascii="Times New Roman"/>
          <w:b w:val="false"/>
          <w:i w:val="false"/>
          <w:color w:val="000000"/>
          <w:sz w:val="28"/>
        </w:rPr>
        <w:t xml:space="preserve"> 3-1 тармағына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төрағасымен хатшысы сайланады.</w:t>
      </w:r>
    </w:p>
    <w:bookmarkStart w:name="z19" w:id="17"/>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 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12. 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both"/>
      </w:pPr>
      <w:r>
        <w:rPr>
          <w:rFonts w:ascii="Times New Roman"/>
          <w:b w:val="false"/>
          <w:i w:val="false"/>
          <w:color w:val="000000"/>
          <w:sz w:val="28"/>
        </w:rPr>
        <w:t>
      13. Жиналысты шақыруларда баяндамалар, қосымша баяндамалар, жарыс 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 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 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 сөз болмайды.</w:t>
      </w:r>
    </w:p>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 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төрағасымен хатшысы қол қояды және бес жұмыс күні ішінде қалалық мәслихаттың қарауына беріледі.</w:t>
      </w:r>
    </w:p>
    <w:bookmarkStart w:name="z24" w:id="22"/>
    <w:p>
      <w:pPr>
        <w:spacing w:after="0"/>
        <w:ind w:left="0"/>
        <w:jc w:val="both"/>
      </w:pPr>
      <w:r>
        <w:rPr>
          <w:rFonts w:ascii="Times New Roman"/>
          <w:b w:val="false"/>
          <w:i w:val="false"/>
          <w:color w:val="000000"/>
          <w:sz w:val="28"/>
        </w:rPr>
        <w:t>
      15.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Ауыл, ауылдық округ әкімімен жергілікті қоғамдастық жиналысы арасында келіспеушілік тудырған мәселелерді бес жұмыс күні ішінде Заңның 11-бабында көзделген тәртіппен қалалық мәслихаттың таяудағы отырысында алдын ала талқылаудан және оның шешімінен кейін жоғары тұрған әкім шешім қабылдайды.</w:t>
      </w:r>
    </w:p>
    <w:bookmarkStart w:name="z26" w:id="24"/>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18. Жиналысты шақыруда қабылданған шешімдерді ауыл, ауылдық округ әкімінің аппараты бұқаралық ақпарат құралдары арқылы немесе өзгеде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20. Шешімдер орындалмаған немесе сапасыз орындалған жағдайда, тиісті ақпарат хаттамаға енгізіледі, оны жиналыстың төрағасы қала әкіміне немесе жиналыстың шешімдерін орындауға жауапты лауазымды адамдардың жоғары тұрған басшыларына жібереді.</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