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a943" w14:textId="ef8a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21 ақпандағы № 11/73-VIII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ауданында жергілікті қоғамдастықтың бөлек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2024 жылғы 21 ақпандағы</w:t>
            </w:r>
            <w:r>
              <w:br/>
            </w:r>
            <w:r>
              <w:rPr>
                <w:rFonts w:ascii="Times New Roman"/>
                <w:b w:val="false"/>
                <w:i w:val="false"/>
                <w:color w:val="000000"/>
                <w:sz w:val="20"/>
              </w:rPr>
              <w:t>№11/73-VIII шешіміне қосымша</w:t>
            </w:r>
          </w:p>
        </w:tc>
      </w:tr>
    </w:tbl>
    <w:bookmarkStart w:name="z5" w:id="3"/>
    <w:p>
      <w:pPr>
        <w:spacing w:after="0"/>
        <w:ind w:left="0"/>
        <w:jc w:val="left"/>
      </w:pPr>
      <w:r>
        <w:rPr>
          <w:rFonts w:ascii="Times New Roman"/>
          <w:b/>
          <w:i w:val="false"/>
          <w:color w:val="000000"/>
        </w:rPr>
        <w:t xml:space="preserve"> Қазығұрт ауданында жергілікті қоғамдастықтың бөлек жиындарын өткізудің қағидалары </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ауыл, ауылдық округ тұрғындарының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бөлек жергілікті қоғамдастық жиыны –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0"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1"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2"/>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5" w:id="1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3"/>
    <w:bookmarkStart w:name="z16" w:id="14"/>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5"/>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8" w:id="16"/>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bookmarkEnd w:id="16"/>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ауыл, көше, көппәтерлі тұрғын үй тұрғындарына тең өкілдік ету қағидаты негізінде айқындалады.</w:t>
      </w:r>
    </w:p>
    <w:bookmarkStart w:name="z19" w:id="1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0" w:id="1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Start w:name="z21" w:id="1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9"/>
    <w:bookmarkStart w:name="z22" w:id="2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0"/>
    <w:bookmarkStart w:name="z23" w:id="2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1"/>
    <w:bookmarkStart w:name="z24" w:id="2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2"/>
    <w:bookmarkStart w:name="z25" w:id="2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3"/>
    <w:bookmarkStart w:name="z26" w:id="24"/>
    <w:p>
      <w:pPr>
        <w:spacing w:after="0"/>
        <w:ind w:left="0"/>
        <w:jc w:val="left"/>
      </w:pPr>
      <w:r>
        <w:rPr>
          <w:rFonts w:ascii="Times New Roman"/>
          <w:b/>
          <w:i w:val="false"/>
          <w:color w:val="000000"/>
        </w:rPr>
        <w:t xml:space="preserve"> 3-тарау Жергілікті қоғамдастық жиынына қатысу үшін ауыл, көше тұрғындары өкілдерінің санын айқындау</w:t>
      </w:r>
    </w:p>
    <w:bookmarkEnd w:id="24"/>
    <w:bookmarkStart w:name="z27" w:id="25"/>
    <w:p>
      <w:pPr>
        <w:spacing w:after="0"/>
        <w:ind w:left="0"/>
        <w:jc w:val="both"/>
      </w:pPr>
      <w:r>
        <w:rPr>
          <w:rFonts w:ascii="Times New Roman"/>
          <w:b w:val="false"/>
          <w:i w:val="false"/>
          <w:color w:val="000000"/>
          <w:sz w:val="28"/>
        </w:rPr>
        <w:t>
      12. Жергілікті қоғамдастық жиынына қатысу үшін ауыл, көше, көппәтерлі тұрғын үй тұрғындары өкілдерінің саны төмендегідей айқындалады:</w:t>
      </w:r>
    </w:p>
    <w:bookmarkEnd w:id="25"/>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4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3 өкілге дейін;</w:t>
      </w:r>
    </w:p>
    <w:p>
      <w:pPr>
        <w:spacing w:after="0"/>
        <w:ind w:left="0"/>
        <w:jc w:val="both"/>
      </w:pPr>
      <w:r>
        <w:rPr>
          <w:rFonts w:ascii="Times New Roman"/>
          <w:b w:val="false"/>
          <w:i w:val="false"/>
          <w:color w:val="000000"/>
          <w:sz w:val="28"/>
        </w:rPr>
        <w:t>
      халық саны 4000 адамнан жоғары елді мекенде 2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20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10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