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5e35" w14:textId="0215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2023 жылғы 27 желтоқсандағы № 80 "2024-2026 жылдарға арналған ауылдық округтер мен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30 сәуірдегі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2023 жылғы 27 желтоқсандағы №80 "2024-2026 жылдарға арналған ауылдық округтер мен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Жартытөбе ауылдық округінің 2024-2026 жылдарға арналған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129 832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114 075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–2 368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Жуантөбе ауылдық округінің 2024-2026 жылдарға арналған бюджеті 4, 5 және 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83 520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Қарақұр ауылдық округі 2024-2026 жылдарға арналған бюджеті 7, 8 және 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Қаратау ауылдық округінің 2024-2026 жылдарға арналған бюджеті 10, 11 және 12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79 711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86 777мың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Құмкент ауылдық округінің 2024-2026 жылдарға арналған бюджеті 13, 14 және 15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114 675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101 511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 Созақ ауылдық округінің 2024-2026 жылдарға арналған бюджеті 16, 17 және 18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122 920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80 588мың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134 723мың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11 803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Сызған ауылдық округінің 2024-2026 жылдарға арналған бюджеті 19, 20 және 21қосымшаларға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149 313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133 026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Шолаққорған ауылдық округінің 2024-2026 жылдарға арналған бюджеті 22, 23 және 24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424 195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102 307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318 743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435 107мың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–10 912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 Шу ауылдық округінің 2024-2026 жылдарға арналған бюджеті 25, 26 және 27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65 858мың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 Қыземшек кентінің 2024-2026 жылдарға арналған бюджеті 28, 29 және 30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7 029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 Таукент кентінің 2024-2026 жылдарға арналған бюджеті 31, 32 және 33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162 006мың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–102 932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 Тасты ауылдық округінің 2024-2026 жылдарға арналған бюджеті 34, 35 және 36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976 мың теңге.".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