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b379" w14:textId="58ab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2023 жылғы 25 желтоқсандағы № 16-82-VІІІ "2024-2026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25 қаңтардағы № 19-90-VIII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"2024-2026 жылдарға арналған қала, ауылдық округтердің бюджеті туралы" 2023 жылғы 25 желтоқсандағы № 16-82-VIII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қаласының 2024-2026 жылдарға арналған бюджеті 1, 2 және 3-қосымшаларға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692 656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333 381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358 642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692 656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2024-2026 жылдарға арналған бюджеті 4, 5, 6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96 777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25 965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70 552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96 777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2024-2026 жылдарға арналған бюджеті 7, 8, 9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101 085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30 528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70 377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101 085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 ата ауылдық округінің 2024-2026 жылдарға арналған бюджеті 10, 11, 12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97 547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25 944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71 603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97 547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2024-2026 жылдарға арналған бюджеті 13, 14, 15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99 402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55 101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44 301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99 402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2024-2026 жылдарға арналған бюджеті 16, 17, 18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80 379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64 748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80 379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2024-2026 жылдарға арналған бюджеті 19, 20, 21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116 460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105 782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116 460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2024-2026 жылдарға арналған бюджеті 22, 23, 24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79 241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63 126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79 241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2024-2026 жылдарға арналған бюджеті 25, 26, 27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100 990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90 726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100 990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2024-2026 жылдарға арналған бюджеті 28, 29, 30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115 776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13 658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101 928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115 776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2024-2026 жылдарға арналған бюджеті 31, 32, 33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111 634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21 091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90 543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111 634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19-90-VIII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19-90-VIII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19-90-VIII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19-90-VIII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19-90-VIII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19-90-VIII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19-90-VIII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19-90-VIII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19-90-VIII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19-90-VIII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19-90-VIII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