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58b1" w14:textId="ca55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2023 жылғы 25 желтоқсандағы № 9-86-VIII "2024-2026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 тамыздағы № 17-127-VIII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"2024-2026 жылдарға арналған ауыл және ауылдық округтер бюджеттері туралы" 2023 жылғы 25 желтоқсандағы №9-86-VІІІ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Абай ауылының 2024-2025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197 856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16 263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47 984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47 984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2024-2026 жылдарға арналған бюджеті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58 994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2024-2026 жылдарға арналған бюджеті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76 753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1 648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2024-2026 жылдарға арналған бюджеті 10, 11 және 12-қосымшаға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73 807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2024-2026 жылдарға арналған бюджеті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48 016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2023-2025 жылдарға арналған бюджеті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200 018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183 781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131 040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100 736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105 644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2 113 мыңге;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167 483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2024-2026 жылдарға арналған бюджеті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71 167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2024-2026 жылдарға арналған бюджеті 31, 32 және 33-қосымшаларға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177 098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2024-2026 жылдарға арналған бюджеті 34, 35 және 36-қосымшаларға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68 898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К.Мекенбаев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№17-127-VIII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