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fe7f" w14:textId="79cf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2023 жылғы 25 желтоқсандағы № 110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2024 жылғы 24 мамырдағы № 153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ауылдық округтердің бюджеттері туралы" Сауран аудандық мәслихатының 2023 жылғы 25 желтоқсандағы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Бабайқорған ауылдық округінің 2024-2026 жылдарға арналған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101 386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Ескі Иқан ауылдық округінің 2024-2026 жылдарға арналған бюджеті тиісінше 4, 5 және 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8 076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Жаңа Иқан ауылдық округінің 2024-2026 жылдарға арналған бюджеті тиісінше 7, 8 және 9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94 258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4 685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Жібек Жолы ауылдық округінің 2024-2026 жылдарға арналған бюджеті тиісінше 10, 11 және 12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Жүйнек ауылдық округінің 2024-2026 жылдарға арналған бюджеті тиісінше 13, 14 және 15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126 318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Иассы ауылдық округінің 2024-2026 жылдарға арналған бюджеті тиісінше 16, 17 және 18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7 948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Қарашық ауылдық округінің 2024-2026 жылдарға арналған бюджеті тиісінше 19, 20 және 21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10 263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10 263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Майдантал ауылдық округінің 2024-2026 жылдарға арналған бюджеті тиісінше 22, 23 және 24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2 144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Оранғай ауылдық округінің 2024-2026 жылдарға арналған бюджеті тиісінше 25, 26 және 27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101 288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–23 878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23 878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Үшқайық ауылдық округінің 2024-2026 жылдарға арналған бюджеті тиісінше 28, 29 және 30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85 725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Шаға ауылдық округінің 2024-2026 жылдарға арналған бюджеті тиісінше 31, 32 және 33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135 253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7 388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Шорнақ ауылдық округінің 2024-2026 жылдарға арналған бюджеті тиісінше 34, 35 және 36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126 597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12 733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Бабайқорған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Ескі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Иқан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Жібек Жолы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Жүйнек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Иассы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Майдантал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Оранғай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