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00e8" w14:textId="5880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2023 жылғы 25 желтоқсандағы № 110 "2024-2026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12 қарашадағы № 193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ауылдық округтердің бюджеттері туралы" Сауран аудандық мәслихатының 2023 жылғы 25 желтоқсандағы №110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Бабайқорған ауылдық округінің 2024-2026 жылдарға арналған бюджеті тиісінше 1, 2 және 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111 788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113 751 349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1 963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Ескі Иқан ауылдық округінің 2024-2026 жылдарға арналған бюджеті тиісінше 4, 5 және 6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125 432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8 076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Жаңа Иқан ауылдық округінің 2024-2026 жылдарға арналған бюджеті тиісінше 7, 8 және 9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99 537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104 222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4 685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Жібек Жолы ауылдық округінің 2024-2026 жылдарға арналған бюджеті тиісінше 10, 11 және 12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Жүйнек ауылдық округінің 2024-2026 жылдарға арналған бюджеті тиісінше 13, 14 және 15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124 333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24 120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24 120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Иассы ауылдық округінің 2024-2026 жылдарға арналған бюджеті тиісінше 16, 17 және 18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7 948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Қарашық ауылдық округінің 2024-2026 жылдарға арналған бюджеті тиісінше 19, 20 және 21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108 625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10 263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10 263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Майдантал ауылдық округінің 2024-2026 жылдарға арналған бюджеті тиісінше 22, 23 және 24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2 144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Оранғай ауылдық округінің 2024-2026 жылдарға арналған бюджеті тиісінше 25, 26 және 27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119 664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23 878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23 878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Үшқайық ауылдық округінің 2024-2026 жылдарға арналған бюджеті тиісінше 28, 29 және 30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87 203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Шаға ауылдық округінің 2024-2026 жылдарға арналған бюджеті тиісінше 31, 32 және 33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155 162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–7 388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7 388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Шорнақ ауылдық округінің 2024-2026 жылдарға арналған бюджеті тиісінше 34, 35 және 36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137 078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149 811мың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12 733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С.Байсбаев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