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e66" w14:textId="61c0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"Қазтелерадио" акционерлік қоғамына шектеулі пайдалану құқығын (қауымдық сервитут)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2024 жылғы 30 қазандағы № 383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"Қазтелерадио" акционерлік қоғамына, БСН 000540002083, меншік иелері мен жер пайдаланушылардан жер телімдерін алып қоймай, электр беру желісін төсеу мақсатында Риддер қаласы, Бутаково ауылы, мекенжайы бойынша орналасқан (тоқсандық есебінің аумағы 05-083-034), жалпы көлемі 0,0030 га, оның ішінде: 0,0026 га – сервитут алаңы, 0,0004 га - бөгде жер пайдаланушылар жер телімдеріне 3 жыл мерзімге шектеулі пайдалану құқығы (қауымдық сервитут)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Қауымдық сервитутты сатып алушы техникалық талаптар мен Қазақстан Республикасы Энергетика министрінің 2017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Электр желілері объектілерінің күзет аймақтарын және осындай аймақтардың шекараларында орналасқан жер телімдерін пайдаланудың ерекше шарттарын белгілеу қағидаларын сақтасын.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 телімін шектеулі пайдалану құқығы субъектісі жеке меншік иесіне немесе жер пайдаланушыға жекеше сервитутты белгілеу туралы шартта айқындалған мөлшерде сервитутқа байланысты барлық залалдарды өтеуге тиіс.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"Риддер қаласының жер қатынастары және ауыл шаруашылығы бөлімі" мемлекеттік мекемесі осы қаулыдан туындайтын шараларды қабылдасын.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Риддер қаласы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күнтізбелік он күн өткеннен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