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57f4" w14:textId="6f35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2023 жылғы 13 маусымдағы № 131 "Карантиндік режимді енгізе отырып, карантиндік аймақты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2024 жылғы 16 ақпандағы № 39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ұсынысы негізінде,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2023 жылғы 13 маусымдағы №131 "Карантиндік режимді енгізе отырып, карантиндік аймақты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нормативтік құқықтық актілерінің эталондық бақылау банкінде жариялануын;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Батыс Қазақстан облысы әкімдігінің интернет-ресурсында орналастырылуын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"__"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 қаулысымен бекітілген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жатаған (қызғылт) (Acroptilon repens D.C.) укекіре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"__"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көпжылдық ойраншөп (Ambrosia psilostachya (D.C.))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"__"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арам сояу (Cuscuta sp.sp)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