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1596" w14:textId="99e1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2024 жылғы 30 желтоқсандағы № 182 "2025-2027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2025 жылғы 14 наурыздағы № 199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"2025-2027 жылдарға арналған Мәртөк ауданының ауылдық округтерінің бюджеттерін бекіту туралы" 2024 жылғы 30 желтоқсандағы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242 247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236 417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243 372,8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-1 125,8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1 125,8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Аққұдық ауылдық округінің бюджетінде аудандық бюджеттен берілетін трансферттер көлемі – 199 353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60 193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57 278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61 005,4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-812,4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812,4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Байнассай ауылдық округінің бюджетінде аудандық бюджеттен берілетін трансферттер көлемі – 23 047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59 959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55 975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61 355,2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-1 396,2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1 396,2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2025 жылға арналған Байторысай ауылдық округінің бюджетінде аудандық бюджеттен берілетін трансферттер көлемі – 21 310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74 563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61 884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88 392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-13 829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13 829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13 829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2025 жылға арналған Жайсаң ауылдық округінің бюджетінде аудандық бюджеттен берілетін трансферттер көлемі – 17 068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104 723,4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-2 705,4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2 705,4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42 572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55 798,7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-6 257,7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6 257,7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6 257,7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2025 жылға арналған Қарашай ауылдық округінің бюджетінде аудандық бюджеттен берілетін трансферттер көлемі – 15 133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76 396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63 752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77 484,4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-1 088,4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1 088,4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2025 жылға арналған Құрмансай ауылдық округінің бюджетінде аудандық бюджеттен берілетін трансферттер көлемі – 36 952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57 997,1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-1 826,1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1 826,1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558 669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449 780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567 588,8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-8 919,8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8 919,8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2025 жылға арналған Мәртөк ауылдық округінің бюджетінде аудандық бюджеттен берілетін трансферттер көлемі – 211 261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62 568,4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-3 752,4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3 752,4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3 752,4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152 984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129 436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155 704,1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-2 720,1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2 720,1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2025 жылға арналған Сарыжар ауылдық округінің бюджетінде аудандық бюджеттен берілетін трансферттер көлемі – 63 052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74 356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63 669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75 916,7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-1 560,7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1 560,7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2025 жылға арналған Тәңірберген ауылдық округінің бюджетінде аудандық бюджеттен берілетін трансферттер көлемі – 33 357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62 501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55 891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62 674,1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-173,1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173,1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2025 жылға арналған Хазірет ауылдық округінің бюджетінде аудандық бюджеттен берілетін трансферттер көлемі – 23 469 мың теңге сомасында ескерілсін.".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наурыздағы № 199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