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83d1" w14:textId="76d8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министрінің "Республикалық терминология комиссиясы туралы" 2024 жылғы 18 наурыздағы № 116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12 наурыздағы № 105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терминология комиссиясының құрамын өзектендіру мақсатында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министрінің "Республикалық терминология комиссиясы туралы" 2024 жылғы 18 наурыздағы № 116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Республикалық терминология комиссиясының көрсетілген бұйрықпен бекітілген </w:t>
      </w:r>
      <w:r>
        <w:rPr>
          <w:rFonts w:ascii="Times New Roman"/>
          <w:b w:val="false"/>
          <w:i w:val="false"/>
          <w:color w:val="000000"/>
          <w:sz w:val="28"/>
        </w:rPr>
        <w:t>құрамы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12 наурыздағы</w:t>
            </w:r>
            <w:r>
              <w:br/>
            </w:r>
            <w:r>
              <w:rPr>
                <w:rFonts w:ascii="Times New Roman"/>
                <w:b w:val="false"/>
                <w:i w:val="false"/>
                <w:color w:val="000000"/>
                <w:sz w:val="20"/>
              </w:rPr>
              <w:t>№ 105 бұйрығы</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Республикалық терминология комиссиясының құрамы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вице-министрі;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Тіл саясаты комитетінің төрағасы;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Тіл саясаты комитеті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Сағидолла Мүтиғоллаұлы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Байменше Серікқали Ердіғалиұлы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Алмас Қабдымәжитұлы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кандидаты, философия докторы (PhD)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Бақытгүл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 Сәрсенбай Қуантайұлы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Құрманбайұлы Шерубай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Айгүл Көбейсінқызы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Бауыржан Ғалиақпарұлы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Омашұлы Дәуітәлі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 аудармашы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Марат Әділханұлы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магистрі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 бағыты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Қарлығаш Жамалбекқызы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Әлісжан Сарқыт Қалымұлы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Бажықова Күлзада Бегалықызы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Ерғазина Марал Жүнісбекқызы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Жонкешов Бауыржан Сейсенбекұлы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Төлеухан Шойбасұлы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физика-математика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Қарманов Тоғыс Досмырзаұлы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Мамырбаев Өркен Жұмажанұлы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мамандығы бойынша философия докторы (PhD)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Қуат Табылдыұлы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Шүкірғалиев Бекдәулет Темірболатұлы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мамандығы бойынша философия докторы (PhD)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