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287e" w14:textId="add2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6 наурыздағы № 14/03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CAML Exploration Limited Жеке компаниясына пайдалы қазбаларды барлау үшін, жалпы көлемі 7284,0 гектар жер учаскесін меншік иелері мен жер пайдаланушылардан алып қоймай, 2030 жылдың 31 мамырына дейін жария сервитут белгіленсін.</w:t>
      </w:r>
    </w:p>
    <w:bookmarkEnd w:id="1"/>
    <w:bookmarkStart w:name="z6" w:id="2"/>
    <w:p>
      <w:pPr>
        <w:spacing w:after="0"/>
        <w:ind w:left="0"/>
        <w:jc w:val="both"/>
      </w:pPr>
      <w:r>
        <w:rPr>
          <w:rFonts w:ascii="Times New Roman"/>
          <w:b w:val="false"/>
          <w:i w:val="false"/>
          <w:color w:val="000000"/>
          <w:sz w:val="28"/>
        </w:rPr>
        <w:t>
      2. CAML Exploration Limited Жеке компаниясы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6 наурыздағы</w:t>
            </w:r>
            <w:r>
              <w:br/>
            </w:r>
            <w:r>
              <w:rPr>
                <w:rFonts w:ascii="Times New Roman"/>
                <w:b w:val="false"/>
                <w:i w:val="false"/>
                <w:color w:val="000000"/>
                <w:sz w:val="20"/>
              </w:rPr>
              <w:t>№ 14/03 қаулысына қосымша</w:t>
            </w:r>
          </w:p>
        </w:tc>
      </w:tr>
    </w:tbl>
    <w:bookmarkStart w:name="z12" w:id="6"/>
    <w:p>
      <w:pPr>
        <w:spacing w:after="0"/>
        <w:ind w:left="0"/>
        <w:jc w:val="left"/>
      </w:pPr>
      <w:r>
        <w:rPr>
          <w:rFonts w:ascii="Times New Roman"/>
          <w:b/>
          <w:i w:val="false"/>
          <w:color w:val="000000"/>
        </w:rPr>
        <w:t xml:space="preserve"> CAML Exploration Limited Жеке компаниясына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