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1d3a" w14:textId="feb1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2024 жылғы 24 желтоқсандағы № 131 "2025-2027 жылдарға арналған ауылдар,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2025 жылғы 27 наурыздағы № 138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2024 жылғы 24 желтоқсандағы № 131 "2025-2027 жылдарға арналған ауылдар, кенттер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204903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376 404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279 229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376 404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 – 2027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35 365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8 969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26 396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36 565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- 1 200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 – 2027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32 104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25 695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34 124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2 020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- 2 020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2 020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 – 2027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39 134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7 718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31 203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44 934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5 800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- 5 800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5 800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 – 2027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25 772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16 747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649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8 376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31 639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5 867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- 5 867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5 867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 – 2027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30 514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26 482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30 514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 – 2027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141 045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3 257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137 788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141 045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 – 2027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33 453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5 498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27 955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34 453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1 000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- 1 000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 – 2027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35 677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28 927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36 227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550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-550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550 мың теңге.".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 – 2027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35 231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8 849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26 382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41 322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6 091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- 6 091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6 091 мың теңге.".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 – 2027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173 713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9 210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164 503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173 713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 – 2027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29 068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3 513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25 479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30 568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1 500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-1 500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1 500 мың теңге.".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 – 2027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42 198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4 872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37 326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43 198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1 000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- 1 000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 – 2027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34 264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34 255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43 864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9 600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-9 600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9 600 теңге.".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 – 2027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28 253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13 502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14 751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38 483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10 230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- 10 230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10 230 теңге.".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кентінің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Шубаркөл кентінің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Мұзбел ауылының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0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 ауылының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жылғаарналған Ахмет ауылының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Жараспай ауылының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Ақмешіт ауылының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Карим Мыңбаев ауылының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2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Кертінді ауылының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Заречное ауылының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32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Жанбөбек ауылының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Ткенекті ауылының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