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7daa" w14:textId="43d7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2025 жылғы 11 ақпандағы № 28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және Қазақстан Республикасы өнеркәсіп және құрылыс министрлігі геология комитеті мен "MACHTEHKZ" жауапкершілігі шектеулі серіктестігі арасындағы 2024 жылғы 26 тамыздағы №289-ЖҚГЗ Жер қойнауын геологиялық зерттеуге арналған лицензиясы негізінде Бейнеу ауданының әкімдігі ҚАУЛЫ ЕТЕДІ:</w:t>
      </w:r>
    </w:p>
    <w:bookmarkEnd w:id="0"/>
    <w:bookmarkStart w:name="z2" w:id="1"/>
    <w:p>
      <w:pPr>
        <w:spacing w:after="0"/>
        <w:ind w:left="0"/>
        <w:jc w:val="both"/>
      </w:pPr>
      <w:r>
        <w:rPr>
          <w:rFonts w:ascii="Times New Roman"/>
          <w:b w:val="false"/>
          <w:i w:val="false"/>
          <w:color w:val="000000"/>
          <w:sz w:val="28"/>
        </w:rPr>
        <w:t>
      1. "MACHTEHKZ" жауапкершілігі шектеулі серіктестігіне геологиялық зерттеу жөніндегі операцияларды жүргізу үшін Бейнеу ауданы, "Төңірекшың" учаскесінде орналасқан алаңы 321,0 гектар жер учаскесіне меншік иелері мен жер пайдаланушылардан жер учаскелерін алып қоймастан 2028 жылғы 15 қаңтарына дейінгі мерзімге жария сервитут белгіленсін.</w:t>
      </w:r>
    </w:p>
    <w:bookmarkEnd w:id="1"/>
    <w:bookmarkStart w:name="z3"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5"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Шалбаев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