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0c4e" w14:textId="88b0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Мұнайшы ауылы әкімінің 2025 жылғы 7 наурызда № 21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cәйкес, Мұнайшы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Мұнайшы ауылы жерінен жалпы көлемі 0,2843 гектар жер учаскесін "QAZAQGAZ AIMAQ" акционерлік қоғамына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"Мұнайшы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Бекмурзаев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Мұнайшы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 наурыз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шекарасындағы барлық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