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887a" w14:textId="beb8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2019 жылғы 11 қыркүйектегі № 394 "Қостанай облысы бойынша әлеуметтік маңызы бар азық-түлік тауарларына бағаларды тұрақтандыру тетіктерін іске асыру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2025 жылғы 4 ақпандағы № 27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бойынша әлеуметтік маңызы бар азық-түлік тауарларына бағаларды тұрақтандыру тетіктерін іске асыру қағидаларын бекіту туралы" 2019 жылғы 11 қыркүйектегі № 394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8653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бойынша әлеуметтік маңызы бар азық-түлік тауарларының бағаларын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12-3-тармақтар</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"12-2. Азық-түлік тауарларының өңірлік тұрақтандыру қорларын қалыптастыру шеңберінде әлеуметтік маңызы бар азық-түлік тауарларын өндіру үшін ауыл шаруашылығы тауарын өндірушілерді және қайта өңдеуші кәсіпорындарды қаржыландыру бекітілген бағаны белгілей отырып, форвардты қолданумен жүзеге асырылады.</w:t>
      </w:r>
    </w:p>
    <w:bookmarkEnd w:id="3"/>
    <w:bookmarkStart w:name="z9" w:id="4"/>
    <w:p>
      <w:pPr>
        <w:spacing w:after="0"/>
        <w:ind w:left="0"/>
        <w:jc w:val="both"/>
      </w:pPr>
      <w:r>
        <w:rPr>
          <w:rFonts w:ascii="Times New Roman"/>
          <w:b w:val="false"/>
          <w:i w:val="false"/>
          <w:color w:val="000000"/>
          <w:sz w:val="28"/>
        </w:rPr>
        <w:t>
      Әлеуметтік маңызы бар азық-түлік тауарларын өндіру үшін ауыл шаруашылығы тауарын 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bookmarkEnd w:id="4"/>
    <w:bookmarkStart w:name="z10" w:id="5"/>
    <w:p>
      <w:pPr>
        <w:spacing w:after="0"/>
        <w:ind w:left="0"/>
        <w:jc w:val="both"/>
      </w:pPr>
      <w:r>
        <w:rPr>
          <w:rFonts w:ascii="Times New Roman"/>
          <w:b w:val="false"/>
          <w:i w:val="false"/>
          <w:color w:val="000000"/>
          <w:sz w:val="28"/>
        </w:rPr>
        <w:t>
      12-3.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халқының (қалалық немесе жалпы) үш айлық қажеттілігінің 50 пайызына дейін қалыптастырылады.";</w:t>
      </w:r>
    </w:p>
    <w:bookmarkEnd w:id="5"/>
    <w:bookmarkStart w:name="z11"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20-2-тармақтармен</w:t>
      </w:r>
      <w:r>
        <w:rPr>
          <w:rFonts w:ascii="Times New Roman"/>
          <w:b w:val="false"/>
          <w:i w:val="false"/>
          <w:color w:val="000000"/>
          <w:sz w:val="28"/>
        </w:rPr>
        <w:t xml:space="preserve"> толықтырылсын:</w:t>
      </w:r>
    </w:p>
    <w:bookmarkEnd w:id="6"/>
    <w:bookmarkStart w:name="z12" w:id="7"/>
    <w:p>
      <w:pPr>
        <w:spacing w:after="0"/>
        <w:ind w:left="0"/>
        <w:jc w:val="both"/>
      </w:pPr>
      <w:r>
        <w:rPr>
          <w:rFonts w:ascii="Times New Roman"/>
          <w:b w:val="false"/>
          <w:i w:val="false"/>
          <w:color w:val="000000"/>
          <w:sz w:val="28"/>
        </w:rPr>
        <w:t>
      "20-1.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7"/>
    <w:bookmarkStart w:name="z13" w:id="8"/>
    <w:p>
      <w:pPr>
        <w:spacing w:after="0"/>
        <w:ind w:left="0"/>
        <w:jc w:val="both"/>
      </w:pPr>
      <w:r>
        <w:rPr>
          <w:rFonts w:ascii="Times New Roman"/>
          <w:b w:val="false"/>
          <w:i w:val="false"/>
          <w:color w:val="000000"/>
          <w:sz w:val="28"/>
        </w:rPr>
        <w:t>
      20-2. Әлеуметтік маңызы бар азық-түлік тауарларын аймақтық тұрақтандыру қорларына сатып алу кезінде мамандандырылған ұйым ауыл шаруашылығы тауарын 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8"/>
    <w:bookmarkStart w:name="z14" w:id="9"/>
    <w:p>
      <w:pPr>
        <w:spacing w:after="0"/>
        <w:ind w:left="0"/>
        <w:jc w:val="both"/>
      </w:pPr>
      <w:r>
        <w:rPr>
          <w:rFonts w:ascii="Times New Roman"/>
          <w:b w:val="false"/>
          <w:i w:val="false"/>
          <w:color w:val="000000"/>
          <w:sz w:val="28"/>
        </w:rPr>
        <w:t>
      Егер ауыл шаруашылығы тауарын 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bookmarkEnd w:id="9"/>
    <w:bookmarkStart w:name="z15" w:id="10"/>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тәртіппен:</w:t>
      </w:r>
    </w:p>
    <w:bookmarkEnd w:id="10"/>
    <w:bookmarkStart w:name="z16" w:id="11"/>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Қазақстан Республикасы нормативтік құқықтық актілерінің эталондық бақылау банкіне енгізу үшін жіберілуін;</w:t>
      </w:r>
    </w:p>
    <w:bookmarkEnd w:id="11"/>
    <w:bookmarkStart w:name="z17" w:id="12"/>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12"/>
    <w:bookmarkStart w:name="z18" w:id="1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3"/>
    <w:bookmarkStart w:name="z19" w:id="1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