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8ab0" w14:textId="b9c8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2024 жылғы 27 желтоқсандағы "2025 – 2027 жылдарға арналған Ертіс ауданының ауылдар және ауылдық округтерінің бюджеті туралы" № 112-30-8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2025 жылғы 25 сәуірдегі № 122-34-8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2024 жылғы 27 желтоқсандағы "2025 - 2027 жылдарға арналған Ертіс ауданының ауылдар және ауылдық округтерінің бюджеті туралы" № 112-30-8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Ағашорын ауылдық округінің бюджеті тиісінше 1, 2 және 3-қосымшаларға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2025 - 2027 жылдарға арналған Аманкелді ауылдық округінің бюджеті тиісінше 4, 5 және 6-қосымшаларға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2025 - 2027 жылдарға арналған Байзақов ауылдық округінің бюджеті тиісінше 7, 8 және 9-қосымшаларға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107203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2025 - 2027 жылдарға арналған Голубовка ауылының бюджеті тиісінше 10, 11 және 12-қосымшаларға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2025 - 2027 жылдарға арналған Ертіс ауылының бюджеті тиісінше 13, 14 және 15-қосымшаларға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389009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21982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2025 - 2027 жылдарға арналған Қарақұдық ауылдық округінің бюджеті тиісінше 16, 17 және 18-қосымшаларға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550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2025 - 2027 жылдарға арналған Қоскөл ауылдық округінің бюджеті тиісінше 19, 20 және 21-қосымшаларға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2772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2025 - 2027 жылдарға арналған Қызылжар ауылдық округінің бюджеті тиісінше 22, 23 және 24-қосымшаларға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2025 - 2027 жылдарға арналған Майқоңыр ауылының бюджеті тиісінше 25, 26 және 27-қосымшаларға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143523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2025 - 2027 жылдарға арналған Панфилов ауылдық округінің бюджеті тиісінше 28, 29 және 30-қосымшаларға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140516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2025 - 2027 жылдарға арналған Северный ауылдық округінің бюджеті тиісінше 31, 32 және 33-қосымшаларға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82781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2025 - 2027 жылдарға арналған Сілеті ауылдық округінің бюджеті тиісінше 34, 35 және 36-қосымшаларға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Ағашорын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Аманкелді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Байзақов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Голубовка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Майқоңыр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Панфилов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Северный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Сілеті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