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8335" w14:textId="e5e8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белгілеген шекті шама шеңберінде "Әлеуметтік медициналық сақтандыру қоры" коммерциялық емес акционерлік қоғамының 2025 жылға арналған комиссиялық сыйақысының пайыздық мөлшерлемесінің шамасын белгілеу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3 ақпандағы № 76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1" w:id="0"/>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11-бабының </w:t>
      </w:r>
      <w:r>
        <w:rPr>
          <w:rFonts w:ascii="Times New Roman"/>
          <w:b w:val="false"/>
          <w:i w:val="false"/>
          <w:color w:val="000000"/>
          <w:sz w:val="28"/>
        </w:rPr>
        <w:t>5-1) тармақшасына</w:t>
      </w:r>
      <w:r>
        <w:rPr>
          <w:rFonts w:ascii="Times New Roman"/>
          <w:b w:val="false"/>
          <w:i w:val="false"/>
          <w:color w:val="000000"/>
          <w:sz w:val="28"/>
        </w:rPr>
        <w:t>, "Әлеуметтік медициналық сақтандыру қорының комиссиялық сыйақысының пайыздық мөлшерлемесінің шекті шамасын белгілеу туралы" Қазақстан Республикасы Үкіметінің 2023 жылғы 20 желтоқсандағы № 1156 қаулысының 1-тармағына сәйкес БҰЙЫРАМЫН:</w:t>
      </w:r>
    </w:p>
    <w:bookmarkEnd w:id="0"/>
    <w:bookmarkStart w:name="z2" w:id="1"/>
    <w:p>
      <w:pPr>
        <w:spacing w:after="0"/>
        <w:ind w:left="0"/>
        <w:jc w:val="both"/>
      </w:pPr>
      <w:r>
        <w:rPr>
          <w:rFonts w:ascii="Times New Roman"/>
          <w:b w:val="false"/>
          <w:i w:val="false"/>
          <w:color w:val="000000"/>
          <w:sz w:val="28"/>
        </w:rPr>
        <w:t>
      1. "Әлеуметтік медициналық сақтандыру қоры" коммерциялық емес акционерлік қоғамының (бұдан әрі - Қор) 2025 жылға арналған қызметін жүзеге асыруға Қазақстан Республикасының Үкіметі белгілеген шама шеңберінде Қордың комиссиялық сыйақысының пайыздық мөлшерлемесінің шекті шамасы есепті айда Қордың шотына түскен активтер мөлшерінің 1,18 пайызы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қабылданған күннен бастап бес жұмыс күн ішінде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