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3d4a" w14:textId="e103d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көтерме жәрдемақы және тұрғын үй сатып алу немесе салу үшін бюджеттік кредит беру туралы"</w:t>
      </w:r>
    </w:p>
    <w:p>
      <w:pPr>
        <w:spacing w:after="0"/>
        <w:ind w:left="0"/>
        <w:jc w:val="both"/>
      </w:pPr>
      <w:r>
        <w:rPr>
          <w:rFonts w:ascii="Times New Roman"/>
          <w:b w:val="false"/>
          <w:i w:val="false"/>
          <w:color w:val="000000"/>
          <w:sz w:val="28"/>
        </w:rPr>
        <w:t>Түркістан облысы Арыс қалалық мәслихатының 2025 жылғы 27 наурыздағы № 30/176-VІІІ шешiмi</w:t>
      </w:r>
    </w:p>
    <w:p>
      <w:pPr>
        <w:spacing w:after="0"/>
        <w:ind w:left="0"/>
        <w:jc w:val="both"/>
      </w:pPr>
      <w:bookmarkStart w:name="z1" w:id="0"/>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18-бабының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Ұлттық экономика министрiнiң 2014 жылғы 6 қарашадағы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(нормативтік құқықтық актілерді мемлекеттік тіркеу Тізілімінде №9946 болып тіркелген) қағидасына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жылға әлеуметтік қолдау көрсетілсін: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