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ebd9" w14:textId="203e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әлеуметтік қолдау көрсету туралы</w:t>
      </w:r>
    </w:p>
    <w:p>
      <w:pPr>
        <w:spacing w:after="0"/>
        <w:ind w:left="0"/>
        <w:jc w:val="both"/>
      </w:pPr>
      <w:r>
        <w:rPr>
          <w:rFonts w:ascii="Times New Roman"/>
          <w:b w:val="false"/>
          <w:i w:val="false"/>
          <w:color w:val="000000"/>
          <w:sz w:val="28"/>
        </w:rPr>
        <w:t>Түркістан облысы Созақ аудандық мәслихатының 2025 жылғы 19 наурыздағы № 173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№72 </w:t>
      </w:r>
      <w:r>
        <w:rPr>
          <w:rFonts w:ascii="Times New Roman"/>
          <w:b w:val="false"/>
          <w:i w:val="false"/>
          <w:color w:val="000000"/>
          <w:sz w:val="28"/>
        </w:rPr>
        <w:t>бұйрығына</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Созақ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2025 жылы көтерме жәрдемақы және тұрғын үй сатып алуға немесе салуға бюджеттік кредит түрінде әлеуметтік қолдау шаралары ұсынылсын:</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О.Жәмиев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