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97af6" w14:textId="7297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2024 жылғы 25 желтоқсандағы № 32-172-VІІІ "2025-2027 жылдарға арналған қала,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2025 жылғы 10 ақпандағы № 34-179-VIII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"2025-2027 жылдарға арналған қала, ауылдық округтердің бюджеті туралы" 2024 жылғы 25 желтоқсандағы №32-172-VIII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Шардара қаласының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458 810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429 213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түсiмi – 29 220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464 488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- 5 678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5 678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Қ.Тұрысбеков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109 883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28 480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81 247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110 325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442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Көксу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244 305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37 843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206 354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245 640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1 335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Ұзын ата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108 791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26 791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82 000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109 556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-765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765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765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Алатау батыр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123 374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46 271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77 103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124 827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- 1 453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Қызылқұм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76 011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60 980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76 411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400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Сүткент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74 773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12 788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61 913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75 058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285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285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Ақшеңгелді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82 893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15 414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67 407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84 323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1 430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107 792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10 790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96 943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107 956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Жаушықұм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137 266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14 333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122 819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137 614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348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Қоссейіт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 81 217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 21 088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 60 129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 82 571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 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 -1 354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1 354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 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1 354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Шардара қаласының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Қ.Тұрысбеков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 ата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батыр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Ақшеңгелді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Жаушықұм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№34-179-VIII шешіміне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№32-172-VIII шешіміне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Қоссейіт ауылдық округінің 2025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жылға арналған қаржы жоспары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