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1df9" w14:textId="0231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2024 жылғы 30 желтоқсандағы № 25-151-VIII "2025-2027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2025 жылғы 8 мамырдағы № 29-175-VIII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қала, кент және ауылдық округтердің бюджеті туралы" Жетісай аудандық мәслихатының 2024 жылғы 30 желтоқсандағы №25-151-VIII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Жетісай қаласының 2025-2027 жылдарға арналған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686 971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797 835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- 110 864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110 864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110 864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Жаңа ауыл ауылдық округінің 2025-2027 жылдарға арналған бюджеті 4, 5 және 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13 854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13 854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Жылы су ауылдық округінің 2025-2027 жылдарға арналған бюджеті 7, 8 және 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119 455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3 324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3 324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Қазыбек би ауылдық округінің 2025-2027 жылдарға арналған бюджеті 10, 11 және 12-қосымшаларға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187 324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98 672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Қарақай ауылдық округінің 2025-2027 жылдарға арналған бюджеті 13, 14 және 15-қосымшаларға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104 691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7 496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7 496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Асықата кентінің 2025-2027 жылдарға арналған бюджеті 16, 17 және 18-қосымшаларға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161 185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159 920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- 46 737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46 737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46 737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Абай ауылдық округінің 2025-2027 жылдарға арналған бюджеті 19, 20 және 21-қосымшаларға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4 494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Атамекен ауылдық округінің 2025-2027 жылдарға арналған бюджеті 22, 23 және 24-қосымшаларға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111 439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8 168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Ш.Ділдабеков ауылдық округінің 2025-2027 жылдарға арналған бюджеті 25, 26 және 27-қосымшаларға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–6 237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Ж.Ералиев ауылдық округінің 2025-2027 жылдарға арналған бюджеті 28, 29 және 30-қосымшаларға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117 761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8 464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Қызылқұм ауылдық округінің 2025-2027 жылдарға арналған бюджеті 31, 32 және 33-қосымшаларға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105 486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66 626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7 530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Мақталы ауылдық округінің 2025-2027 жылдарға арналған бюджеті 34, 35 және 36-қосымшаларға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136 377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79 553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Ынтымақ ауылдық округінің 2025-2027 жылдарға арналған бюджеті 37, 38 және 39-қосымшаларға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90 732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2 014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2 014 мың теңге.".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Жетісай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