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c35a" w14:textId="393c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Жылы су ауылдық округі әкімінің 2025 жылғы 30 қаңтардағы № 05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Түркістан облыстық ономастика комиссиясының 2024 жылғы 27 желтоқсандағы қорытындысы негізінде Жылы су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 су ауылдық округі Сейфуллин елді мекеніндегі көшеге келесі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1)Сейфуллин елді мекеніндегі Курортная көшеге- Бекет ата атауы;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 әкімінің орынбасары А.Алдешовқа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Жылы су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