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d873" w14:textId="bd4d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2024 жылғы 24 желтоқсандағы № 207 "2025-2027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2025 жылғы 26 мамырдағы № 241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ауылдық округтердің бюджеттері туралы" Сауран аудандық мәслихатының 2024 жылғы 24 желтоқсандағы №207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Бабайқорған ауылдық округінің 2025-2027 жылдарға арналған бюджеті тиісінше 1, 2 және 3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111 528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- 3 325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3 325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3 325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Ескі Иқан ауылдық округінің 2025-2027 жылдарға арналған бюджеті тиісінше 4, 5 және 6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113 554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-26 006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- 26 006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26 006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26 006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Жаңа Иқан ауылдық округінің 2025-2027 жылдарға арналған бюджеті тиісінше 7, 8 және 9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88 788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- 9 237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9 237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9 237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Жібек Жолы ауылдық округінің 2025-2027 жылдарға арналған бюджеті тиісінше 10, 11 және 12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Жүйнек ауылдық округінің 2025-2027 жылдарға арналған бюджеті тиісінше 13, 14 және 15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127 557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-20 724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- 20 724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20 724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20 724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Иассы ауылдық округінің 2025-2027 жылдарға арналған бюджеті тиісінше 16, 17 және 18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65 763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-25 639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- 25 639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25 639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25 639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Қарашық ауылдық округінің 2025-2027 жылдарға арналған бюджеті тиісінше 19, 20 және 21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95 741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- 1 866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1 866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Майдантал ауылдық округінің 2025-2027 жылдарға арналған бюджеті тиісінше 22, 23 және 24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109 920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684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684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Оранғай ауылдық округінің 2025-2027 жылдарға арналған бюджеті тиісінше 25, 26 және 27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97 774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-23 352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- 23 352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23 352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23 352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Үшқайық ауылдық округінің 2025-2027 жылдарға арналған бюджеті тиісінше 28, 29 және 30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119 326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- 4 085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4 085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4 085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Шаға ауылдық округінің 2025-2027 жылдарға арналған бюджеті тиісінше 31, 32 және 33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94 249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- 2 610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2 610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2 610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Шорнақ ауылдық округінің 2025-2027 жылдарға арналған бюджеті тиісінше 34, 35 және 36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187 910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- 7 293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7 293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7 293 мың теңге."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Сауран аудандық мәслихаты төрағасының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өкілеттігін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Е.Мустапаев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Бабайқорған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Ескі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Жібек Жолы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Жүйнек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Иассы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Майдантал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Оранғай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№207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Шорнақ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