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e615" w14:textId="96ae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Бірыңғай кедендік тарифінің қуаттылығы 25 000 кВт астам гидравликалық турбиналарға арналған жекелеген бөлшек түрлеріне қатысты кедендік әкелу баждары мөлшерлемелерін белгілеу туралы және Еуразиялық экономикалық комиссияның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28 қыркүйектегі № 127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Бірыңғай кедендік тарифінің (Еуразиялық экономикалық комиссия Кеңесінің 2012 жылғы 16 шілдедегі № 54 шешіміне қосымша) қуаттылығы 25 000 кВт астам гидравликалық турбиналарға арналған жекелеген бөлшек түрлеріне және азаматтық әуе кемелеріне арналған тауарлардың жекелеген түрлеріне қатысты кедендік әкелу баждары мөлшерлемелері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ескертпелер мынадай мазмұндағы 56С ескертпемен толықтырылсын:</w:t>
      </w:r>
    </w:p>
    <w:bookmarkEnd w:id="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56С)</w:t>
      </w:r>
      <w:r>
        <w:rPr>
          <w:rFonts w:ascii="Times New Roman"/>
          <w:b w:val="false"/>
          <w:i w:val="false"/>
          <w:color w:val="000000"/>
          <w:sz w:val="28"/>
        </w:rPr>
        <w:t xml:space="preserve"> Кедендік құнның 13% мөлшеріндегі кедендік әкелу бажы мөлшерлемесі Еуразиялық экономикалық комиссия Алқасының 2015 жылғы 28 қыркүйектегі № 127 шешімі күшіне енген күннен бастап қоса алғанда 31.08.2016 дейінгі аралықта қолданылады.".</w:t>
      </w:r>
    </w:p>
    <w:bookmarkStart w:name="z4" w:id="3"/>
    <w:p>
      <w:pPr>
        <w:spacing w:after="0"/>
        <w:ind w:left="0"/>
        <w:jc w:val="both"/>
      </w:pPr>
      <w:r>
        <w:rPr>
          <w:rFonts w:ascii="Times New Roman"/>
          <w:b w:val="false"/>
          <w:i w:val="false"/>
          <w:color w:val="000000"/>
          <w:sz w:val="28"/>
        </w:rPr>
        <w:t>
      3. Өтпелі кезең ішінде Қырғыз Республикасы оларға қатысты Еуразиялық экономикалық комиссия Алқасының 2015 жылғы 30 маусымдағы № 68 шешімімен бекітілген Еуразиялық экономикалық одақтың Бірыңғай кедендік тарифі белгілеген баждар мөлшерлемелерінен өзгеше кедендік әкелу баждарының мөлшерлемелерін қолданатын тауарлар мен мөлшерлемелер тізбесіндегі ЕАЭО СЭҚ ТН 8542 32 900 9 коды бар позиция алып тасталсын.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28 қыркүйектегі</w:t>
            </w:r>
            <w:r>
              <w:br/>
            </w:r>
            <w:r>
              <w:rPr>
                <w:rFonts w:ascii="Times New Roman"/>
                <w:b w:val="false"/>
                <w:i w:val="false"/>
                <w:color w:val="000000"/>
                <w:sz w:val="20"/>
              </w:rPr>
              <w:t>№ 127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МӨЛШЕРЛЕМЕЛЕРІ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 (кедендік құнның пайызымен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қуаттылығы 25 000 кВт астам гидравликалық турбиналарға арналған  шойыннан құйылған немесе болаттан құйылған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56С)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 xml:space="preserve">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