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4cbe" w14:textId="ecf4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бүріккіш принтерге арналған сиялы картриджді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11 мамырдағы № 48 шешімі</w:t>
      </w:r>
    </w:p>
    <w:p>
      <w:pPr>
        <w:spacing w:after="0"/>
        <w:ind w:left="0"/>
        <w:jc w:val="left"/>
      </w:pPr>
    </w:p>
    <w:p>
      <w:pPr>
        <w:spacing w:after="0"/>
        <w:ind w:left="0"/>
        <w:jc w:val="both"/>
      </w:pPr>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Орнатуға арналған бекіту элементтерімен, сүзгімен, клапандармен, сондай-ақ картридждің типі, оны өндіруші және жұмсалған сияның көлемі туралы мәліметтерді қамтитын микросхемасы және байланыс клеммалары бар электрондық модульмен жабдықталған герметикалық пластмасса корпусты білдіретін сия құйылған бүріккіш принтерге арналған картридж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8443 99 900 0 кіші қосалқы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