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56dd" w14:textId="fcb5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16 сәуірдегі № 88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29 тамыздағы № 109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"Ерікті негізде қолдану нәтижесінде Кеден одағының "Доңғалақты көлік құралдарының қауіпсіздігі туралы" техникалық регламенті (КО ТР 018/2011) талаптарын сақтау қамтамасыз етілетін мемлекетаралық стандарттарды, сондай-ақ зерттеулер (сынақтар) мен өлшеулердің қағидалары мен әдістерін, соның ішінде Кеден одағының "Доңғалақты көлік құралдарының қауіпсіздігі туралы" техникалық регламенті (КО ТР 018/2011) талаптарын қолдану мен орындау және өнімнің сәйкестілігін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2013 жылғы 16 сәуірдегі № 88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109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2013 жылғы 16 сәуірдегі № 88 шешіміне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1. Атауында және 1-тармақта "өнімнің сәйкестілігін бағалауды (растауды)" деген сөздер "техникалық реттеу объектісінің сәйкестілігін" деген сөздермен ауыстырылсын.</w:t>
      </w:r>
    </w:p>
    <w:bookmarkEnd w:id="2"/>
    <w:bookmarkStart w:name="z7" w:id="3"/>
    <w:p>
      <w:pPr>
        <w:spacing w:after="0"/>
        <w:ind w:left="0"/>
        <w:jc w:val="both"/>
      </w:pPr>
      <w:r>
        <w:rPr>
          <w:rFonts w:ascii="Times New Roman"/>
          <w:b w:val="false"/>
          <w:i w:val="false"/>
          <w:color w:val="000000"/>
          <w:sz w:val="28"/>
        </w:rPr>
        <w:t>
      2. Осы Шешіммен бекітілген Ерікті негізде қолдану нәтижесінде Кеден одағының "Доңғалақты көлік құралдарының қауіпсіздігі туралы" техникалық регламенті (КО ТР 018/2011) талаптарын сақтау қамтамасыз етілетін мемлекетаралық стандарттарды, сондай-ақ зерттеулер (сынақтар) мен өлшеулердің қағидалары мен әдістерін, соның ішінде Кеден одағының "Доңғалақты көлік құралдарының қауіпсіздігі туралы" техникалық регламенті (КО ТР 018/2011) талаптарын қолдану мен орындау және өнімнің сәйкестілігін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бағдарламада:</w:t>
      </w:r>
    </w:p>
    <w:bookmarkEnd w:id="3"/>
    <w:bookmarkStart w:name="z8" w:id="4"/>
    <w:p>
      <w:pPr>
        <w:spacing w:after="0"/>
        <w:ind w:left="0"/>
        <w:jc w:val="both"/>
      </w:pPr>
      <w:r>
        <w:rPr>
          <w:rFonts w:ascii="Times New Roman"/>
          <w:b w:val="false"/>
          <w:i w:val="false"/>
          <w:color w:val="000000"/>
          <w:sz w:val="28"/>
        </w:rPr>
        <w:t>
      а) атауында "өнімнің сәйкестілігін бағалауды (растауды)" деген сөздер "техникалық реттеу объектісінің сәйкестілігін" деген сөздермен ауыстырылсын;</w:t>
      </w:r>
    </w:p>
    <w:bookmarkEnd w:id="4"/>
    <w:bookmarkStart w:name="z9" w:id="5"/>
    <w:p>
      <w:pPr>
        <w:spacing w:after="0"/>
        <w:ind w:left="0"/>
        <w:jc w:val="both"/>
      </w:pPr>
      <w:r>
        <w:rPr>
          <w:rFonts w:ascii="Times New Roman"/>
          <w:b w:val="false"/>
          <w:i w:val="false"/>
          <w:color w:val="000000"/>
          <w:sz w:val="28"/>
        </w:rPr>
        <w:t>
      б) 7-графаның атауында "Кеден одағына және Бірыңғай экономикалық кеңістікке" деген сөздер "Еуразиялық экономикалық одаққа" деген сөздермен ауыстырылсын;</w:t>
      </w:r>
    </w:p>
    <w:bookmarkEnd w:id="5"/>
    <w:bookmarkStart w:name="z10" w:id="6"/>
    <w:p>
      <w:pPr>
        <w:spacing w:after="0"/>
        <w:ind w:left="0"/>
        <w:jc w:val="both"/>
      </w:pPr>
      <w:r>
        <w:rPr>
          <w:rFonts w:ascii="Times New Roman"/>
          <w:b w:val="false"/>
          <w:i w:val="false"/>
          <w:color w:val="000000"/>
          <w:sz w:val="28"/>
        </w:rPr>
        <w:t>
      в) мынадай мазмұндағы 85 – 105 позициялармен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Сұйылтылған мұнай газына арналған жабдық және оның қосалқы тетіктері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Сұйылтылған мұнай газына арналған автоцистерна жабдығы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EN 12252:2014</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арматура. Металл арматура сынағы. Сынақтар, сынаөтар өткізу тәртібі және қабылдау критерийлері. Қосымша талаптар.</w:t>
            </w:r>
          </w:p>
          <w:p>
            <w:pPr>
              <w:spacing w:after="20"/>
              <w:ind w:left="20"/>
              <w:jc w:val="both"/>
            </w:pPr>
            <w:r>
              <w:rPr>
                <w:rFonts w:ascii="Times New Roman"/>
                <w:b w:val="false"/>
                <w:i w:val="false"/>
                <w:color w:val="000000"/>
                <w:sz w:val="20"/>
              </w:rPr>
              <w:t>
EN 12266-2:2012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 және 1.20-тармақтары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Металл цистерналардың сынақтары, тексеру және таңбалау.</w:t>
            </w:r>
          </w:p>
          <w:p>
            <w:pPr>
              <w:spacing w:after="20"/>
              <w:ind w:left="20"/>
              <w:jc w:val="both"/>
            </w:pPr>
            <w:r>
              <w:rPr>
                <w:rFonts w:ascii="Times New Roman"/>
                <w:b w:val="false"/>
                <w:i w:val="false"/>
                <w:color w:val="000000"/>
                <w:sz w:val="20"/>
              </w:rPr>
              <w:t>
EN 12972:2015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 және 1.20-тармақтары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23.020.20 23.060.20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Булар бұрмасының клапаны.</w:t>
            </w:r>
          </w:p>
          <w:p>
            <w:pPr>
              <w:spacing w:after="20"/>
              <w:ind w:left="20"/>
              <w:jc w:val="both"/>
            </w:pPr>
            <w:r>
              <w:rPr>
                <w:rFonts w:ascii="Times New Roman"/>
                <w:b w:val="false"/>
                <w:i w:val="false"/>
                <w:color w:val="000000"/>
                <w:sz w:val="20"/>
              </w:rPr>
              <w:t>
EN 13082:2008+А1:2012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қосымшаның 1.18-тармағы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Жұмыстық қысымы 0,5 бар-дан аспайтын металл цистерналар. Конструкция және әзірлеу.</w:t>
            </w:r>
          </w:p>
          <w:p>
            <w:pPr>
              <w:spacing w:after="20"/>
              <w:ind w:left="20"/>
              <w:jc w:val="both"/>
            </w:pPr>
            <w:r>
              <w:rPr>
                <w:rFonts w:ascii="Times New Roman"/>
                <w:b w:val="false"/>
                <w:i w:val="false"/>
                <w:color w:val="000000"/>
                <w:sz w:val="20"/>
              </w:rPr>
              <w:t>
EN 13094:2015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23.020.20 23.060.20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Өздігінен ағу жүктемесін азайтатын клапан.</w:t>
            </w:r>
          </w:p>
          <w:p>
            <w:pPr>
              <w:spacing w:after="20"/>
              <w:ind w:left="20"/>
              <w:jc w:val="both"/>
            </w:pPr>
            <w:r>
              <w:rPr>
                <w:rFonts w:ascii="Times New Roman"/>
                <w:b w:val="false"/>
                <w:i w:val="false"/>
                <w:color w:val="000000"/>
                <w:sz w:val="20"/>
              </w:rPr>
              <w:t>
EN 13308:2002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Құю қылтасының қақпағы.</w:t>
            </w:r>
          </w:p>
          <w:p>
            <w:pPr>
              <w:spacing w:after="20"/>
              <w:ind w:left="20"/>
              <w:jc w:val="both"/>
            </w:pPr>
            <w:r>
              <w:rPr>
                <w:rFonts w:ascii="Times New Roman"/>
                <w:b w:val="false"/>
                <w:i w:val="false"/>
                <w:color w:val="000000"/>
                <w:sz w:val="20"/>
              </w:rPr>
              <w:t>
EN 13314:2002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23.020.20 23.060.20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Қысыммен ағу жүктемесін азайтатын клапан.</w:t>
            </w:r>
          </w:p>
          <w:p>
            <w:pPr>
              <w:spacing w:after="20"/>
              <w:ind w:left="20"/>
              <w:jc w:val="both"/>
            </w:pPr>
            <w:r>
              <w:rPr>
                <w:rFonts w:ascii="Times New Roman"/>
                <w:b w:val="false"/>
                <w:i w:val="false"/>
                <w:color w:val="000000"/>
                <w:sz w:val="20"/>
              </w:rPr>
              <w:t>
EN 13316:2002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Бақылау люкінің қақпағы.</w:t>
            </w:r>
          </w:p>
          <w:p>
            <w:pPr>
              <w:spacing w:after="20"/>
              <w:ind w:left="20"/>
              <w:jc w:val="both"/>
            </w:pPr>
            <w:r>
              <w:rPr>
                <w:rFonts w:ascii="Times New Roman"/>
                <w:b w:val="false"/>
                <w:i w:val="false"/>
                <w:color w:val="000000"/>
                <w:sz w:val="20"/>
              </w:rPr>
              <w:t>
EN 13317:2002+А1:2006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Қысымды металл цистерналар. Конструкция және әзірлеу.</w:t>
            </w:r>
          </w:p>
          <w:p>
            <w:pPr>
              <w:spacing w:after="20"/>
              <w:ind w:left="20"/>
              <w:jc w:val="both"/>
            </w:pPr>
            <w:r>
              <w:rPr>
                <w:rFonts w:ascii="Times New Roman"/>
                <w:b w:val="false"/>
                <w:i w:val="false"/>
                <w:color w:val="000000"/>
                <w:sz w:val="20"/>
              </w:rPr>
              <w:t>
EN 14025:2013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Сұйылтыллған мұнай газына арналған жабдық және оның қосалқы тетіктері. </w:t>
            </w:r>
          </w:p>
          <w:p>
            <w:pPr>
              <w:spacing w:after="20"/>
              <w:ind w:left="20"/>
              <w:jc w:val="both"/>
            </w:pPr>
            <w:r>
              <w:rPr>
                <w:rFonts w:ascii="Times New Roman"/>
                <w:b w:val="false"/>
                <w:i w:val="false"/>
                <w:color w:val="000000"/>
                <w:sz w:val="20"/>
              </w:rPr>
              <w:t>
Сұйылтыллған мұнай газына арналған жоғары қысымды түтіктерге арналған сақтандырғыш клапандар.</w:t>
            </w:r>
          </w:p>
          <w:p>
            <w:pPr>
              <w:spacing w:after="20"/>
              <w:ind w:left="20"/>
              <w:jc w:val="both"/>
            </w:pPr>
            <w:r>
              <w:rPr>
                <w:rFonts w:ascii="Times New Roman"/>
                <w:b w:val="false"/>
                <w:i w:val="false"/>
                <w:color w:val="000000"/>
                <w:sz w:val="20"/>
              </w:rPr>
              <w:t>
EN 14129:2014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Сұйық химиялық заттар мен сұйылтылған газдарды тасымалдауға арналған цистерналар жабдығы. Жүктемені азайтатын және енгізу ауа жіберетін клапандар.</w:t>
            </w:r>
          </w:p>
          <w:p>
            <w:pPr>
              <w:spacing w:after="20"/>
              <w:ind w:left="20"/>
              <w:jc w:val="both"/>
            </w:pPr>
            <w:r>
              <w:rPr>
                <w:rFonts w:ascii="Times New Roman"/>
                <w:b w:val="false"/>
                <w:i w:val="false"/>
                <w:color w:val="000000"/>
                <w:sz w:val="20"/>
              </w:rPr>
              <w:t>
EN 14432:2014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Сұйық химиялық заттар мен сұйылтылған газдарды тасымалдауға арналған цистерналар жабдығы. Қабылдау клапандары.</w:t>
            </w:r>
          </w:p>
          <w:p>
            <w:pPr>
              <w:spacing w:after="20"/>
              <w:ind w:left="20"/>
              <w:jc w:val="both"/>
            </w:pPr>
            <w:r>
              <w:rPr>
                <w:rFonts w:ascii="Times New Roman"/>
                <w:b w:val="false"/>
                <w:i w:val="false"/>
                <w:color w:val="000000"/>
                <w:sz w:val="20"/>
              </w:rPr>
              <w:t>
EN 14433:2014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Тыныстық клапан.</w:t>
            </w:r>
          </w:p>
          <w:p>
            <w:pPr>
              <w:spacing w:after="20"/>
              <w:ind w:left="20"/>
              <w:jc w:val="both"/>
            </w:pPr>
            <w:r>
              <w:rPr>
                <w:rFonts w:ascii="Times New Roman"/>
                <w:b w:val="false"/>
                <w:i w:val="false"/>
                <w:color w:val="000000"/>
                <w:sz w:val="20"/>
              </w:rPr>
              <w:t>
EN 14595:2005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23.020.20 23.060.40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цистерналар. Цистерналарға арналған пайдалану жабдығы. Артық қысымды түсіретін сақтандыру клапаны.</w:t>
            </w:r>
          </w:p>
          <w:p>
            <w:pPr>
              <w:spacing w:after="20"/>
              <w:ind w:left="20"/>
              <w:jc w:val="both"/>
            </w:pPr>
            <w:r>
              <w:rPr>
                <w:rFonts w:ascii="Times New Roman"/>
                <w:b w:val="false"/>
                <w:i w:val="false"/>
                <w:color w:val="000000"/>
                <w:sz w:val="20"/>
              </w:rPr>
              <w:t>
EN 14596:2005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23.020.40 23.060.01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түтіктер. Төмен температуралық жұмыс режиміне арналған вентильдер.</w:t>
            </w:r>
          </w:p>
          <w:p>
            <w:pPr>
              <w:spacing w:after="20"/>
              <w:ind w:left="20"/>
              <w:jc w:val="both"/>
            </w:pPr>
            <w:r>
              <w:rPr>
                <w:rFonts w:ascii="Times New Roman"/>
                <w:b w:val="false"/>
                <w:i w:val="false"/>
                <w:color w:val="000000"/>
                <w:sz w:val="20"/>
              </w:rPr>
              <w:t>
EN 1626:2008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түтіктер. Ваккумды изоляциясыз үлкен тасымалдау түтіктері. Конструкция, әзірлеу, тексеру және сынақтар.</w:t>
            </w:r>
          </w:p>
          <w:p>
            <w:pPr>
              <w:spacing w:after="20"/>
              <w:ind w:left="20"/>
              <w:jc w:val="both"/>
            </w:pPr>
            <w:r>
              <w:rPr>
                <w:rFonts w:ascii="Times New Roman"/>
                <w:b w:val="false"/>
                <w:i w:val="false"/>
                <w:color w:val="000000"/>
                <w:sz w:val="20"/>
              </w:rPr>
              <w:t>
EN 14398-2:2003+А2:2008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түтіктер. Ваккумды изоляциясыз үлкен тасымалдау түтіктері. Конструкция, әзірлеу, тексеру және сынақтар.</w:t>
            </w:r>
          </w:p>
          <w:p>
            <w:pPr>
              <w:spacing w:after="20"/>
              <w:ind w:left="20"/>
              <w:jc w:val="both"/>
            </w:pPr>
            <w:r>
              <w:rPr>
                <w:rFonts w:ascii="Times New Roman"/>
                <w:b w:val="false"/>
                <w:i w:val="false"/>
                <w:color w:val="000000"/>
                <w:sz w:val="20"/>
              </w:rPr>
              <w:t>
EN 13530-2:2002+А1:2004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қосымшаның 1.20-тармағы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клапандар. Металл клапандар сынақтары. 1-бөлім. Қысыммен сынау, сынақтарды өткізу тәртібі және бағалау критерийлері. Міндетті талаптар.</w:t>
            </w:r>
          </w:p>
          <w:p>
            <w:pPr>
              <w:spacing w:after="20"/>
              <w:ind w:left="20"/>
              <w:jc w:val="both"/>
            </w:pPr>
            <w:r>
              <w:rPr>
                <w:rFonts w:ascii="Times New Roman"/>
                <w:b w:val="false"/>
                <w:i w:val="false"/>
                <w:color w:val="000000"/>
                <w:sz w:val="20"/>
              </w:rPr>
              <w:t>
EN 12266-1:2012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түтіктер. Ваккумды изоляциясыз үлкен тасымалдау түтіктері. 1-бөлім. Негізгі талаптар.</w:t>
            </w:r>
          </w:p>
          <w:p>
            <w:pPr>
              <w:spacing w:after="20"/>
              <w:ind w:left="20"/>
              <w:jc w:val="both"/>
            </w:pPr>
            <w:r>
              <w:rPr>
                <w:rFonts w:ascii="Times New Roman"/>
                <w:b w:val="false"/>
                <w:i w:val="false"/>
                <w:color w:val="000000"/>
                <w:sz w:val="20"/>
              </w:rPr>
              <w:t>
EN 14398-1:2003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түтіктер. Ваккумды изоляциямен үлкен тасымалдау түтіктері. 1-бөлім. Негізгі талаптар.</w:t>
            </w:r>
          </w:p>
          <w:p>
            <w:pPr>
              <w:spacing w:after="20"/>
              <w:ind w:left="20"/>
              <w:jc w:val="both"/>
            </w:pPr>
            <w:r>
              <w:rPr>
                <w:rFonts w:ascii="Times New Roman"/>
                <w:b w:val="false"/>
                <w:i w:val="false"/>
                <w:color w:val="000000"/>
                <w:sz w:val="20"/>
              </w:rPr>
              <w:t>
EN 13530-1:2002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қосымшаның 1.20-тармағы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