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1e93" w14:textId="a11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12 мамырдағы № 53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144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тәртібінің 50-тармағының бірінші абзацын ескере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2015 жылғы 12 мамырдағы "Кеден одағының "Темекі өніміне арналған техникалық регламент" техникалық регламентінің (КО ТР 035/2014) өтпелі ережелері туралы" № 53 </w:t>
      </w:r>
      <w:r>
        <w:rPr>
          <w:rFonts w:ascii="Times New Roman"/>
          <w:b w:val="false"/>
          <w:i w:val="false"/>
          <w:color w:val="000000"/>
          <w:sz w:val="28"/>
        </w:rPr>
        <w:t>шешімінің</w:t>
      </w:r>
      <w:r>
        <w:rPr>
          <w:rFonts w:ascii="Times New Roman"/>
          <w:b w:val="false"/>
          <w:i w:val="false"/>
          <w:color w:val="000000"/>
          <w:sz w:val="28"/>
        </w:rPr>
        <w:t xml:space="preserve"> 1-тармағына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"а" тармақшасы</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"Техникалық регламент күшіне енген күнге дейін берілген немесе қабылданған, Армения Республикасының заңнамасымен белгіленген өнімнің міндетті талаптарға сәйкестігін бағалау туралы құжаттар Армения Республикасының аумағында айналымға шығарылатын өнімдер үшін олардың қолданылу мерзімі аяқталғанға дейін, бірақ 2018 жылғы 15 шілдеден кешіктірілмегенше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"б" тармақшасы</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бар болған кезде өнімді Армения Республикасының заңнамасымен белгіленген міндетті талаптарға сәйкес 2018 жылғы 15 шілдеге дейін Армения Республикасының аумағында өндіруге және айналымға шығаруға жол беріледі.".</w:t>
      </w:r>
    </w:p>
    <w:bookmarkStart w:name="z5" w:id="0"/>
    <w:p>
      <w:pPr>
        <w:spacing w:after="0"/>
        <w:ind w:left="0"/>
        <w:jc w:val="both"/>
      </w:pPr>
      <w:r>
        <w:rPr>
          <w:rFonts w:ascii="Times New Roman"/>
          <w:b w:val="false"/>
          <w:i w:val="false"/>
          <w:color w:val="000000"/>
          <w:sz w:val="28"/>
        </w:rPr>
        <w:t xml:space="preserve">
      2. Армения Республикасының Үкіметі осы Шешім күшіне енген күнінен бастап уәкілетті органдардың Армения Республикасының заңнамасында белгіленген тәртіппен айналымға шығарылған өнімді бақылауын (қадағалауын) қамтамасыз етсін.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 және 2017 жылғы 15 қарашадан бастап туындайтын құқықтық қатынастарда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