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826d" w14:textId="d618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арнайы, демпингке қарсы, өтемақы баждарын төлеу бойынша міндеттің орындалуын қамтамасыз ету мөлшері есептемесінің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176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325-бабының 6-тармағына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12 қыркүйектегі № 117 шешімімен бекітілген Кедендік баждарды, салықтарды, арнайы, демпингке қарсы, өтемақы баждарын төлеу бойынша міндеттің орындалуын қамтамасыз ету мөлшері есептемесінің құрылымы мен </w:t>
      </w:r>
      <w:r>
        <w:rPr>
          <w:rFonts w:ascii="Times New Roman"/>
          <w:b w:val="false"/>
          <w:i w:val="false"/>
          <w:color w:val="000000"/>
          <w:sz w:val="28"/>
        </w:rPr>
        <w:t>форматына</w:t>
      </w:r>
      <w:r>
        <w:rPr>
          <w:rFonts w:ascii="Times New Roman"/>
          <w:b w:val="false"/>
          <w:i w:val="false"/>
          <w:color w:val="000000"/>
          <w:sz w:val="28"/>
        </w:rPr>
        <w:t xml:space="preserve"> өзгерістер енгізілсін.</w:t>
      </w:r>
    </w:p>
    <w:bookmarkStart w:name="z3" w:id="1"/>
    <w:p>
      <w:pPr>
        <w:spacing w:after="0"/>
        <w:ind w:left="0"/>
        <w:jc w:val="both"/>
      </w:pPr>
      <w:r>
        <w:rPr>
          <w:rFonts w:ascii="Times New Roman"/>
          <w:b w:val="false"/>
          <w:i w:val="false"/>
          <w:color w:val="000000"/>
          <w:sz w:val="28"/>
        </w:rPr>
        <w:t>
      2.Осы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№176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Кедендік баждарды, салықтарды, арнайы, демпингке қарсы, өтемақы баждарын төлеу бойынша міндеттің орындалуын қамтамасыз ету мөлшері есептемесінің құрылымы мен форматына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3-кестеде</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а) "Деректердің типі" деген бағанда 9.1.6.2, 9.1.11.2 және 9.1.12.3.4.2-позициялардағы "M.SDT.00179" деген белгіленім "M.CA.SDT.00409" деген белгіленіммен ауыстырылсын;</w:t>
      </w:r>
    </w:p>
    <w:bookmarkEnd w:id="3"/>
    <w:bookmarkStart w:name="z8" w:id="4"/>
    <w:p>
      <w:pPr>
        <w:spacing w:after="0"/>
        <w:ind w:left="0"/>
        <w:jc w:val="both"/>
      </w:pPr>
      <w:r>
        <w:rPr>
          <w:rFonts w:ascii="Times New Roman"/>
          <w:b w:val="false"/>
          <w:i w:val="false"/>
          <w:color w:val="000000"/>
          <w:sz w:val="28"/>
        </w:rPr>
        <w:t>
      б) "Деректеменің сипаттамасы" деген бағандағы 9.1.17.1-позицияның қазақ тіліндегі мәтіні өзгеріссіз қалады;</w:t>
      </w:r>
    </w:p>
    <w:bookmarkEnd w:id="4"/>
    <w:bookmarkStart w:name="z9" w:id="5"/>
    <w:p>
      <w:pPr>
        <w:spacing w:after="0"/>
        <w:ind w:left="0"/>
        <w:jc w:val="both"/>
      </w:pPr>
      <w:r>
        <w:rPr>
          <w:rFonts w:ascii="Times New Roman"/>
          <w:b w:val="false"/>
          <w:i w:val="false"/>
          <w:color w:val="000000"/>
          <w:sz w:val="28"/>
        </w:rPr>
        <w:t>
      в) "Деректердің типі" деген бағанда 9.1.17.3.2 және 9.1.17.4.3.4.2-позициялардағы "M.SDT.00179" деген белгіленім "M.CA.SDT.00409" деген белгіленіммен ауыстырылсын;</w:t>
      </w:r>
    </w:p>
    <w:bookmarkEnd w:id="5"/>
    <w:bookmarkStart w:name="z10" w:id="6"/>
    <w:p>
      <w:pPr>
        <w:spacing w:after="0"/>
        <w:ind w:left="0"/>
        <w:jc w:val="both"/>
      </w:pPr>
      <w:r>
        <w:rPr>
          <w:rFonts w:ascii="Times New Roman"/>
          <w:b w:val="false"/>
          <w:i w:val="false"/>
          <w:color w:val="000000"/>
          <w:sz w:val="28"/>
        </w:rPr>
        <w:t>
      г) "Деректеменің сипаттамасы" деген бағандағы 9.1.23.10-позицияның қазақ тіліндегі мәтіні өзгеріссіз қалады;</w:t>
      </w:r>
    </w:p>
    <w:bookmarkEnd w:id="6"/>
    <w:bookmarkStart w:name="z11" w:id="7"/>
    <w:p>
      <w:pPr>
        <w:spacing w:after="0"/>
        <w:ind w:left="0"/>
        <w:jc w:val="both"/>
      </w:pPr>
      <w:r>
        <w:rPr>
          <w:rFonts w:ascii="Times New Roman"/>
          <w:b w:val="false"/>
          <w:i w:val="false"/>
          <w:color w:val="000000"/>
          <w:sz w:val="28"/>
        </w:rPr>
        <w:t>
      д) "Деректердің типі" деген бағанда 9.1.24.1-позициядағы "Ұзындығы: 4" деген сөздер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9-кестеде</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а) 13-позициядан кейін мынадай мазмұндағы позициямен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Measure</w:t>
            </w:r>
            <w:r>
              <w:rPr>
                <w:rFonts w:ascii="Times New Roman"/>
                <w:b w:val="false"/>
                <w:i w:val="false"/>
                <w:color w:val="000000"/>
                <w:sz w:val="20"/>
              </w:rPr>
              <w:t xml:space="preserve"> </w:t>
            </w:r>
            <w:r>
              <w:rPr>
                <w:rFonts w:ascii="Times New Roman"/>
                <w:b/>
                <w:i w:val="false"/>
                <w:color w:val="000000"/>
                <w:sz w:val="20"/>
              </w:rPr>
              <w:t>Unit</w:t>
            </w:r>
            <w:r>
              <w:rPr>
                <w:rFonts w:ascii="Times New Roman"/>
                <w:b w:val="false"/>
                <w:i w:val="false"/>
                <w:color w:val="000000"/>
                <w:sz w:val="20"/>
              </w:rPr>
              <w:t xml:space="preserve"> </w:t>
            </w:r>
            <w:r>
              <w:rPr>
                <w:rFonts w:ascii="Times New Roman"/>
                <w:b/>
                <w:i w:val="false"/>
                <w:color w:val="000000"/>
                <w:sz w:val="20"/>
              </w:rPr>
              <w:t>Abbreviation</w:t>
            </w:r>
            <w:r>
              <w:rPr>
                <w:rFonts w:ascii="Times New Roman"/>
                <w:b w:val="false"/>
                <w:i w:val="false"/>
                <w:color w:val="000000"/>
                <w:sz w:val="20"/>
              </w:rPr>
              <w:t xml:space="preserve"> </w:t>
            </w:r>
            <w:r>
              <w:rPr>
                <w:rFonts w:ascii="Times New Roman"/>
                <w:b/>
                <w:i w:val="false"/>
                <w:color w:val="000000"/>
                <w:sz w:val="20"/>
              </w:rPr>
              <w:t>Code</w:t>
            </w:r>
            <w:r>
              <w:rPr>
                <w:rFonts w:ascii="Times New Roman"/>
                <w:b w:val="false"/>
                <w:i w:val="false"/>
                <w:color w:val="000000"/>
                <w:sz w:val="20"/>
              </w:rPr>
              <w:t xml:space="preserve"> </w:t>
            </w:r>
            <w:r>
              <w:rPr>
                <w:rFonts w:ascii="Times New Roman"/>
                <w:b/>
                <w:i w:val="false"/>
                <w:color w:val="000000"/>
                <w:sz w:val="20"/>
              </w:rPr>
              <w: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 шартты белгілеу</w:t>
            </w:r>
            <w:r>
              <w:rPr>
                <w:rFonts w:ascii="Times New Roman"/>
                <w:b/>
                <w:i w:val="false"/>
                <w:color w:val="000000"/>
                <w:sz w:val="20"/>
              </w:rPr>
              <w:t>_</w:t>
            </w:r>
            <w:r>
              <w:rPr>
                <w:rFonts w:ascii="Times New Roman"/>
                <w:b/>
                <w:i w:val="false"/>
                <w:color w:val="000000"/>
                <w:sz w:val="20"/>
              </w:rPr>
              <w:t xml:space="preserve"> Код. </w:t>
            </w:r>
          </w:p>
          <w:p>
            <w:pPr>
              <w:spacing w:after="20"/>
              <w:ind w:left="20"/>
              <w:jc w:val="both"/>
            </w:pPr>
            <w:r>
              <w:rPr>
                <w:rFonts w:ascii="Times New Roman"/>
                <w:b w:val="false"/>
                <w:i w:val="false"/>
                <w:color w:val="000000"/>
                <w:sz w:val="20"/>
              </w:rPr>
              <w:t>
</w:t>
            </w:r>
            <w:r>
              <w:rPr>
                <w:rFonts w:ascii="Times New Roman"/>
                <w:b/>
                <w:i w:val="false"/>
                <w:color w:val="000000"/>
                <w:sz w:val="20"/>
              </w:rPr>
              <w:t>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символдардың жүйеленген жолы</w:t>
            </w:r>
          </w:p>
          <w:p>
            <w:pPr>
              <w:spacing w:after="20"/>
              <w:ind w:left="20"/>
              <w:jc w:val="both"/>
            </w:pPr>
            <w:r>
              <w:rPr>
                <w:rFonts w:ascii="Times New Roman"/>
                <w:b w:val="false"/>
                <w:i w:val="false"/>
                <w:color w:val="000000"/>
                <w:sz w:val="20"/>
              </w:rPr>
              <w:t>
</w:t>
            </w:r>
            <w:r>
              <w:rPr>
                <w:rFonts w:ascii="Times New Roman"/>
                <w:b/>
                <w:i w:val="false"/>
                <w:color w:val="000000"/>
                <w:sz w:val="20"/>
              </w:rPr>
              <w:t>Ең қысқа ұзындық: 1</w:t>
            </w:r>
          </w:p>
          <w:p>
            <w:pPr>
              <w:spacing w:after="20"/>
              <w:ind w:left="20"/>
              <w:jc w:val="both"/>
            </w:pPr>
            <w:r>
              <w:rPr>
                <w:rFonts w:ascii="Times New Roman"/>
                <w:b w:val="false"/>
                <w:i w:val="false"/>
                <w:color w:val="000000"/>
                <w:sz w:val="20"/>
              </w:rPr>
              <w:t>
</w:t>
            </w:r>
            <w:r>
              <w:rPr>
                <w:rFonts w:ascii="Times New Roman"/>
                <w:b/>
                <w:i w:val="false"/>
                <w:color w:val="000000"/>
                <w:sz w:val="20"/>
              </w:rPr>
              <w:t>Ең ұзын ұзындық: 13";</w:t>
            </w:r>
          </w:p>
        </w:tc>
      </w:tr>
    </w:tbl>
    <w:bookmarkStart w:name="z14" w:id="9"/>
    <w:p>
      <w:pPr>
        <w:spacing w:after="0"/>
        <w:ind w:left="0"/>
        <w:jc w:val="both"/>
      </w:pPr>
      <w:r>
        <w:rPr>
          <w:rFonts w:ascii="Times New Roman"/>
          <w:b w:val="false"/>
          <w:i w:val="false"/>
          <w:color w:val="000000"/>
          <w:sz w:val="28"/>
        </w:rPr>
        <w:t>
      б) "Р/с №" деген бағанда 14 және 15-позициялардағы "14" және "15" деген цифрлар тиісінше "15" және "16" деген цифрлармен ауыстырылсын.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