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de288" w14:textId="32de2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Мүше мемлекеттер жүргізетін қолданбалы және іргелі зерттеулерді ескере отырып, мүше мемлекеттердің ұйымдарының технологиялық жаңартуды жеделдету және инновациялық белсенділікті арттыру мақсатында Еуразиялық экономикалық одаққа мүше мемлекеттердің ынтымақтастығының басым бағыттарының тізбесі туралы</w:t>
      </w:r>
    </w:p>
    <w:p>
      <w:pPr>
        <w:spacing w:after="0"/>
        <w:ind w:left="0"/>
        <w:jc w:val="both"/>
      </w:pPr>
      <w:r>
        <w:rPr>
          <w:rFonts w:ascii="Times New Roman"/>
          <w:b w:val="false"/>
          <w:i w:val="false"/>
          <w:color w:val="000000"/>
          <w:sz w:val="28"/>
        </w:rPr>
        <w:t>Еуразиялық экономикалық комиссия Алқасының 2017 жылғы 28 ақпандағы № 5 ұсынымы.</w:t>
      </w:r>
    </w:p>
    <w:p>
      <w:pPr>
        <w:spacing w:after="0"/>
        <w:ind w:left="0"/>
        <w:jc w:val="both"/>
      </w:pPr>
      <w:bookmarkStart w:name="z0" w:id="0"/>
      <w:r>
        <w:rPr>
          <w:rFonts w:ascii="Times New Roman"/>
          <w:b w:val="false"/>
          <w:i w:val="false"/>
          <w:color w:val="000000"/>
          <w:sz w:val="28"/>
        </w:rPr>
        <w:t xml:space="preserve">
      Еуразиялық экономикалық комиссия Алқасы Еуразиялық экономикалық комиссия Кеңесінің 2016 жылғы 17 наурыздағы № 17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 Өнеркәсіптік ынтымақтастықтың негізгі бағыттарын іске асыру жөніндегі актілерді және іс-шараларды әзірлеу жоспарының 22-тармағына сәйкес:</w:t>
      </w:r>
    </w:p>
    <w:bookmarkEnd w:id="0"/>
    <w:bookmarkStart w:name="z1" w:id="1"/>
    <w:p>
      <w:pPr>
        <w:spacing w:after="0"/>
        <w:ind w:left="0"/>
        <w:jc w:val="both"/>
      </w:pPr>
      <w:r>
        <w:rPr>
          <w:rFonts w:ascii="Times New Roman"/>
          <w:b w:val="false"/>
          <w:i w:val="false"/>
          <w:color w:val="000000"/>
          <w:sz w:val="28"/>
        </w:rPr>
        <w:t>
      Еуразиялық экономикалық одаққа мүше мемлекеттердің (бұдан әрі-мүше мемлекеттер) инновациялық дамуының мейлінше маңызды бағыттарын бірлесе іске асыру үшін ғылыми, материалдық және қаржылық ресурстарды шоғырландыру,</w:t>
      </w:r>
    </w:p>
    <w:bookmarkEnd w:id="1"/>
    <w:bookmarkStart w:name="z2" w:id="2"/>
    <w:p>
      <w:pPr>
        <w:spacing w:after="0"/>
        <w:ind w:left="0"/>
        <w:jc w:val="both"/>
      </w:pPr>
      <w:r>
        <w:rPr>
          <w:rFonts w:ascii="Times New Roman"/>
          <w:b w:val="false"/>
          <w:i w:val="false"/>
          <w:color w:val="000000"/>
          <w:sz w:val="28"/>
        </w:rPr>
        <w:t>
      мүше мемлекеттер жүргізетін қолданбалы және іргелі зерттеулердің нәтижелерін тиімді пайдалану;</w:t>
      </w:r>
    </w:p>
    <w:bookmarkEnd w:id="2"/>
    <w:bookmarkStart w:name="z3" w:id="3"/>
    <w:p>
      <w:pPr>
        <w:spacing w:after="0"/>
        <w:ind w:left="0"/>
        <w:jc w:val="both"/>
      </w:pPr>
      <w:r>
        <w:rPr>
          <w:rFonts w:ascii="Times New Roman"/>
          <w:b w:val="false"/>
          <w:i w:val="false"/>
          <w:color w:val="000000"/>
          <w:sz w:val="28"/>
        </w:rPr>
        <w:t>
      технологиялық жаңартуды және инновациялық белсенділікті арттыру мақсаттарында мүше мемлекеттердің өзара тиімді ынтымақтастығын қалыптастыру мақсатында,</w:t>
      </w:r>
    </w:p>
    <w:bookmarkEnd w:id="3"/>
    <w:bookmarkStart w:name="z4" w:id="4"/>
    <w:p>
      <w:pPr>
        <w:spacing w:after="0"/>
        <w:ind w:left="0"/>
        <w:jc w:val="both"/>
      </w:pPr>
      <w:r>
        <w:rPr>
          <w:rFonts w:ascii="Times New Roman"/>
          <w:b w:val="false"/>
          <w:i w:val="false"/>
          <w:color w:val="000000"/>
          <w:sz w:val="28"/>
        </w:rPr>
        <w:t>
      мүше мемлекеттерге Еуразиялық экономикалық одақтың ресми сайтында осы Ұсыным жарияланған күннен бастап, мүше мемлекеттер жүргізетін қолданбалы және іргелі зерттеулерді ескере отырып, мүше мемлекеттердің ұйымдарының технологиялық жаңартуды жеделдету және инновациялық белсенділікті арттыру мақсатында Еуразиялық экономикалық одаққа мүше мемлекеттердің ынтымақтастығының басым бағыттарының тізбесін пайдалануды ұсынады.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28 ақпандағы</w:t>
            </w:r>
            <w:r>
              <w:br/>
            </w:r>
            <w:r>
              <w:rPr>
                <w:rFonts w:ascii="Times New Roman"/>
                <w:b w:val="false"/>
                <w:i w:val="false"/>
                <w:color w:val="000000"/>
                <w:sz w:val="20"/>
              </w:rPr>
              <w:t>№ 5 ұсынымына</w:t>
            </w:r>
            <w:r>
              <w:br/>
            </w:r>
            <w:r>
              <w:rPr>
                <w:rFonts w:ascii="Times New Roman"/>
                <w:b w:val="false"/>
                <w:i w:val="false"/>
                <w:color w:val="000000"/>
                <w:sz w:val="20"/>
              </w:rPr>
              <w:t>ҚОСЫМША</w:t>
            </w:r>
          </w:p>
        </w:tc>
      </w:tr>
    </w:tbl>
    <w:bookmarkStart w:name="z6" w:id="5"/>
    <w:p>
      <w:pPr>
        <w:spacing w:after="0"/>
        <w:ind w:left="0"/>
        <w:jc w:val="left"/>
      </w:pPr>
      <w:r>
        <w:rPr>
          <w:rFonts w:ascii="Times New Roman"/>
          <w:b/>
          <w:i w:val="false"/>
          <w:color w:val="000000"/>
        </w:rPr>
        <w:t xml:space="preserve"> Мүше мемлекеттер жүргізетін қолданбалы және іргелі зерттеулерді ескере отырып, мүше мемлекеттердің ұйымдарының технологиялық жаңартуды жеделдету және инновациялық белсенділікті арттыру мақсатында Еуразиялық экономикалық одаққа мүше мемлекеттердің ынтымақтастығының басым бағыттарының ТІЗБЕСІ</w:t>
      </w:r>
    </w:p>
    <w:bookmarkEnd w:id="5"/>
    <w:p>
      <w:pPr>
        <w:spacing w:after="0"/>
        <w:ind w:left="0"/>
        <w:jc w:val="both"/>
      </w:pPr>
      <w:r>
        <w:rPr>
          <w:rFonts w:ascii="Times New Roman"/>
          <w:b w:val="false"/>
          <w:i w:val="false"/>
          <w:color w:val="000000"/>
          <w:sz w:val="28"/>
        </w:rPr>
        <w:t>
      1. Дамыған ақпараттық-телекоммуникациялық желілерді қалыптастыру.</w:t>
      </w:r>
    </w:p>
    <w:p>
      <w:pPr>
        <w:spacing w:after="0"/>
        <w:ind w:left="0"/>
        <w:jc w:val="both"/>
      </w:pPr>
      <w:r>
        <w:rPr>
          <w:rFonts w:ascii="Times New Roman"/>
          <w:b w:val="false"/>
          <w:i w:val="false"/>
          <w:color w:val="000000"/>
          <w:sz w:val="28"/>
        </w:rPr>
        <w:t>
      2. Арнайы ерекшеліктері бар материалдарды әзірлеу және енгізу (бірінші кезекте, композициялық материалдар, наноматериалдар және жоғары тазалықты заттар).</w:t>
      </w:r>
    </w:p>
    <w:p>
      <w:pPr>
        <w:spacing w:after="0"/>
        <w:ind w:left="0"/>
        <w:jc w:val="both"/>
      </w:pPr>
      <w:r>
        <w:rPr>
          <w:rFonts w:ascii="Times New Roman"/>
          <w:b w:val="false"/>
          <w:i w:val="false"/>
          <w:color w:val="000000"/>
          <w:sz w:val="28"/>
        </w:rPr>
        <w:t>
      3. Микроэлектроникадан наноэлектроникаға және оптоэлектроникаға, кванттық компьютерлерге ауысу, наноэлектроника, наножүйелі және микрожүйелі техника, қатты денелі электроника үшін бұйымдардың өндірісі үшін материалдар, технологиялар және арнайы технологиялық жабдық әзірлеу.</w:t>
      </w:r>
    </w:p>
    <w:p>
      <w:pPr>
        <w:spacing w:after="0"/>
        <w:ind w:left="0"/>
        <w:jc w:val="both"/>
      </w:pPr>
      <w:r>
        <w:rPr>
          <w:rFonts w:ascii="Times New Roman"/>
          <w:b w:val="false"/>
          <w:i w:val="false"/>
          <w:color w:val="000000"/>
          <w:sz w:val="28"/>
        </w:rPr>
        <w:t>
      4. Лазерлік технологияларды дамыту (материалдарды өңдеу және модификациялау, оптикалық ақпарат, байланыс, навигация және медицина саласын қоса алғанда).</w:t>
      </w:r>
    </w:p>
    <w:p>
      <w:pPr>
        <w:spacing w:after="0"/>
        <w:ind w:left="0"/>
        <w:jc w:val="both"/>
      </w:pPr>
      <w:r>
        <w:rPr>
          <w:rFonts w:ascii="Times New Roman"/>
          <w:b w:val="false"/>
          <w:i w:val="false"/>
          <w:color w:val="000000"/>
          <w:sz w:val="28"/>
        </w:rPr>
        <w:t xml:space="preserve">
      5. Физикалық элетрониканы дамыту (соның ішінде, қатты денелі және вакуумдық құрылғылардың көмегімен электромагнитті толқындарды генерациялау, қабылдау және өзгерту әдістерін әзірлеу, акустоэлектроника, үлкен қуатты релятивистік СВЧ-электроника, қызған бөлшектердің қуатты шоқтарының физикасы). </w:t>
      </w:r>
    </w:p>
    <w:p>
      <w:pPr>
        <w:spacing w:after="0"/>
        <w:ind w:left="0"/>
        <w:jc w:val="both"/>
      </w:pPr>
      <w:r>
        <w:rPr>
          <w:rFonts w:ascii="Times New Roman"/>
          <w:b w:val="false"/>
          <w:i w:val="false"/>
          <w:color w:val="000000"/>
          <w:sz w:val="28"/>
        </w:rPr>
        <w:t xml:space="preserve">
      6. Плазма физикасын технологиялық процестерде қолдану (жоғары температуралы плазма және басқарылатын термоядролық синтез физикасын, астрофизикалық плазма физикасын, төмен температуралы плазма физикасын қоса алғанда). </w:t>
      </w:r>
    </w:p>
    <w:p>
      <w:pPr>
        <w:spacing w:after="0"/>
        <w:ind w:left="0"/>
        <w:jc w:val="both"/>
      </w:pPr>
      <w:r>
        <w:rPr>
          <w:rFonts w:ascii="Times New Roman"/>
          <w:b w:val="false"/>
          <w:i w:val="false"/>
          <w:color w:val="000000"/>
          <w:sz w:val="28"/>
        </w:rPr>
        <w:t>
      7. Толқынды машина құрылысын және толқынды технологияларды дамыту (толқынды машиналар мен аппараттарды жобалаудың негіздерін жасауды, толқынды машиналар мен аппараттарды басқаруды, желілі емес толқынды механиканы, "адам-машина-орта" жүйесіндегі биомеханикалық толқынды процестерді қоса алғанда).</w:t>
      </w:r>
    </w:p>
    <w:p>
      <w:pPr>
        <w:spacing w:after="0"/>
        <w:ind w:left="0"/>
        <w:jc w:val="both"/>
      </w:pPr>
      <w:r>
        <w:rPr>
          <w:rFonts w:ascii="Times New Roman"/>
          <w:b w:val="false"/>
          <w:i w:val="false"/>
          <w:color w:val="000000"/>
          <w:sz w:val="28"/>
        </w:rPr>
        <w:t xml:space="preserve">
      8. Вирустарға қарсы, бактериальдық қарсы және тұмауға қарсы дәрілік препараттардың жаңа буынын әзірлеу. </w:t>
      </w:r>
    </w:p>
    <w:p>
      <w:pPr>
        <w:spacing w:after="0"/>
        <w:ind w:left="0"/>
        <w:jc w:val="both"/>
      </w:pPr>
      <w:r>
        <w:rPr>
          <w:rFonts w:ascii="Times New Roman"/>
          <w:b w:val="false"/>
          <w:i w:val="false"/>
          <w:color w:val="000000"/>
          <w:sz w:val="28"/>
        </w:rPr>
        <w:t xml:space="preserve">
      9. Интеграцияланған инженерлік бағдарламалық тұғырнамаларды әзірлеу және өнімнің өмірлік циклын жобалаудың және басқарудың ортасын дамыту. </w:t>
      </w:r>
    </w:p>
    <w:p>
      <w:pPr>
        <w:spacing w:after="0"/>
        <w:ind w:left="0"/>
        <w:jc w:val="both"/>
      </w:pPr>
      <w:r>
        <w:rPr>
          <w:rFonts w:ascii="Times New Roman"/>
          <w:b w:val="false"/>
          <w:i w:val="false"/>
          <w:color w:val="000000"/>
          <w:sz w:val="28"/>
        </w:rPr>
        <w:t xml:space="preserve">
      10. Өндірістің жоғары технологиялық құралдары үшін (станоктар, өнеркәсіп роботтары т.с.с.) сандық бағдарламалық басқару жүйелерін дамыту.  </w:t>
      </w:r>
    </w:p>
    <w:p>
      <w:pPr>
        <w:spacing w:after="0"/>
        <w:ind w:left="0"/>
        <w:jc w:val="both"/>
      </w:pPr>
      <w:r>
        <w:rPr>
          <w:rFonts w:ascii="Times New Roman"/>
          <w:b w:val="false"/>
          <w:i w:val="false"/>
          <w:color w:val="000000"/>
          <w:sz w:val="28"/>
        </w:rPr>
        <w:t>
      11. "Индустрия 4.0" талаптарына және технологиялық стандарттарға сәйкес келетін өндіріс құралдарын (соның ішінде станок-аспап саласының өнімдерін) әзірлеу.</w:t>
      </w:r>
    </w:p>
    <w:p>
      <w:pPr>
        <w:spacing w:after="0"/>
        <w:ind w:left="0"/>
        <w:jc w:val="both"/>
      </w:pPr>
      <w:r>
        <w:rPr>
          <w:rFonts w:ascii="Times New Roman"/>
          <w:b w:val="false"/>
          <w:i w:val="false"/>
          <w:color w:val="000000"/>
          <w:sz w:val="28"/>
        </w:rPr>
        <w:t xml:space="preserve">
      12. Ресурс-энергия үнемдеу технологияларын, жаңартылатын энергия көздері технологияларын, энергообъектілерді жасау кезінде қолданылатын жоғары өткізгіштік технологиялар пайдаланылатын электротехникалық құрылғыларды дамыту. </w:t>
      </w:r>
    </w:p>
    <w:p>
      <w:pPr>
        <w:spacing w:after="0"/>
        <w:ind w:left="0"/>
        <w:jc w:val="both"/>
      </w:pPr>
      <w:r>
        <w:rPr>
          <w:rFonts w:ascii="Times New Roman"/>
          <w:b w:val="false"/>
          <w:i w:val="false"/>
          <w:color w:val="000000"/>
          <w:sz w:val="28"/>
        </w:rPr>
        <w:t>
      13. Рак ауруларын емдеудің, соның ішінде стволды жасушаларды пайдалана отырып, жаңа препараттарды және әдістерді әзірлеу.</w:t>
      </w:r>
    </w:p>
    <w:p>
      <w:pPr>
        <w:spacing w:after="0"/>
        <w:ind w:left="0"/>
        <w:jc w:val="both"/>
      </w:pPr>
      <w:r>
        <w:rPr>
          <w:rFonts w:ascii="Times New Roman"/>
          <w:b w:val="false"/>
          <w:i w:val="false"/>
          <w:color w:val="000000"/>
          <w:sz w:val="28"/>
        </w:rPr>
        <w:t>
      14. Зарядтық және сервистік станциялар өндірісін және желісісін құруды ққса алғанда, электр көлігін дамыту.</w:t>
      </w:r>
    </w:p>
    <w:p>
      <w:pPr>
        <w:spacing w:after="0"/>
        <w:ind w:left="0"/>
        <w:jc w:val="both"/>
      </w:pPr>
      <w:r>
        <w:rPr>
          <w:rFonts w:ascii="Times New Roman"/>
          <w:b w:val="false"/>
          <w:i w:val="false"/>
          <w:color w:val="000000"/>
          <w:sz w:val="28"/>
        </w:rPr>
        <w:t xml:space="preserve">
      15. Жоғары сыныптағы көп контурлы тұтқалы механизмдердің негізінде принципті жаңа қондырғылар мен машиналарды әзірлеу. </w:t>
      </w:r>
    </w:p>
    <w:p>
      <w:pPr>
        <w:spacing w:after="0"/>
        <w:ind w:left="0"/>
        <w:jc w:val="both"/>
      </w:pPr>
      <w:r>
        <w:rPr>
          <w:rFonts w:ascii="Times New Roman"/>
          <w:b w:val="false"/>
          <w:i w:val="false"/>
          <w:color w:val="000000"/>
          <w:sz w:val="28"/>
        </w:rPr>
        <w:t xml:space="preserve">
      16. Берілісті механизмдердің жаңа түрлерін жобалау және берілісті механизмдерді талдау және синтездеу әдістерін дамыту. </w:t>
      </w:r>
    </w:p>
    <w:p>
      <w:pPr>
        <w:spacing w:after="0"/>
        <w:ind w:left="0"/>
        <w:jc w:val="both"/>
      </w:pPr>
      <w:r>
        <w:rPr>
          <w:rFonts w:ascii="Times New Roman"/>
          <w:b w:val="false"/>
          <w:i w:val="false"/>
          <w:color w:val="000000"/>
          <w:sz w:val="28"/>
        </w:rPr>
        <w:t>
      17. Денсаулық сақтау, ауыл шаруашылығы, қоршаған ортаны қорғау, тамақ және өңдеу өнеркәсібі үшін биотехнологияларды әзірлеу және енгізу.</w:t>
      </w:r>
    </w:p>
    <w:p>
      <w:pPr>
        <w:spacing w:after="0"/>
        <w:ind w:left="0"/>
        <w:jc w:val="both"/>
      </w:pPr>
      <w:r>
        <w:rPr>
          <w:rFonts w:ascii="Times New Roman"/>
          <w:b w:val="false"/>
          <w:i w:val="false"/>
          <w:color w:val="000000"/>
          <w:sz w:val="28"/>
        </w:rPr>
        <w:t xml:space="preserve">
      18. Биопрепараттардың штамм-продуценттерін, соның ішінде ферменттерді, ашытқыларды, биологиялық белсенді қоспаларды, пробиотиктерді, тамақ (жем) қоспаларын және аминқышқылдарын алудың жаңа технологияларын әзірлеу. </w:t>
      </w:r>
    </w:p>
    <w:p>
      <w:pPr>
        <w:spacing w:after="0"/>
        <w:ind w:left="0"/>
        <w:jc w:val="both"/>
      </w:pPr>
      <w:r>
        <w:rPr>
          <w:rFonts w:ascii="Times New Roman"/>
          <w:b w:val="false"/>
          <w:i w:val="false"/>
          <w:color w:val="000000"/>
          <w:sz w:val="28"/>
        </w:rPr>
        <w:t>
      19. Биологиялық алуандықты сақтау және биотехнологиялардың ресурстық негізін қамтамасыз ету үшін микроорганизмдердің, өсімдік дақылдарының және жануар жасушаларының, генетикалық және гендік-инженерлік материалдардың коллекцияларын дамыту.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