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a26f" w14:textId="09aa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сыртқы және өзара саудасы статистикасының интеграцияланған деректерін қалыптастыру туралы</w:t>
      </w:r>
    </w:p>
    <w:p>
      <w:pPr>
        <w:spacing w:after="0"/>
        <w:ind w:left="0"/>
        <w:jc w:val="both"/>
      </w:pPr>
      <w:r>
        <w:rPr>
          <w:rFonts w:ascii="Times New Roman"/>
          <w:b w:val="false"/>
          <w:i w:val="false"/>
          <w:color w:val="000000"/>
          <w:sz w:val="28"/>
        </w:rPr>
        <w:t>Еуразиялық экономикалық комиссия Алқасының 2017 жылғы 18 тамыздағы № 15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w:t>
      </w:r>
      <w:r>
        <w:rPr>
          <w:rFonts w:ascii="Times New Roman"/>
          <w:b w:val="false"/>
          <w:i w:val="false"/>
          <w:color w:val="000000"/>
          <w:sz w:val="28"/>
        </w:rPr>
        <w:t>№ 4 қосымша</w:t>
      </w:r>
      <w:r>
        <w:rPr>
          <w:rFonts w:ascii="Times New Roman"/>
          <w:b w:val="false"/>
          <w:i w:val="false"/>
          <w:color w:val="000000"/>
          <w:sz w:val="28"/>
        </w:rPr>
        <w:t>) 12-тармағына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 тауарлардың экспорты мен импортының бөлінісін сипаттайтын тауарлардың сыртқы және өзара саудасы статистикасының деректерін статистиканың басқа да салаларының деректерімен және тізілімнің деректерімен (мемлекеттік, статистикалық, бизнес-тізілімдер және басқа) байланыстыру негізінде интеграцияланған деректерді қалыптастыру бөлігінде "Халықаралық тауарлар саудасының статистикасы: тұжырымдамалар және айқындаулар, 2010 жыл" халықаралық стандартын:</w:t>
      </w:r>
    </w:p>
    <w:bookmarkEnd w:id="1"/>
    <w:bookmarkStart w:name="z2" w:id="2"/>
    <w:p>
      <w:pPr>
        <w:spacing w:after="0"/>
        <w:ind w:left="0"/>
        <w:jc w:val="both"/>
      </w:pPr>
      <w:r>
        <w:rPr>
          <w:rFonts w:ascii="Times New Roman"/>
          <w:b w:val="false"/>
          <w:i w:val="false"/>
          <w:color w:val="000000"/>
          <w:sz w:val="28"/>
        </w:rPr>
        <w:t>
      сыртқы экономикалық қызметке қатысушылардың экономикалық қызметі түрлері бойынша;</w:t>
      </w:r>
    </w:p>
    <w:bookmarkEnd w:id="2"/>
    <w:bookmarkStart w:name="z3" w:id="3"/>
    <w:p>
      <w:pPr>
        <w:spacing w:after="0"/>
        <w:ind w:left="0"/>
        <w:jc w:val="both"/>
      </w:pPr>
      <w:r>
        <w:rPr>
          <w:rFonts w:ascii="Times New Roman"/>
          <w:b w:val="false"/>
          <w:i w:val="false"/>
          <w:color w:val="000000"/>
          <w:sz w:val="28"/>
        </w:rPr>
        <w:t>
      сыртқы экономикалық қызметке қатысушылардың көлемі (қызметкерлердің саны) бойынша;</w:t>
      </w:r>
    </w:p>
    <w:bookmarkEnd w:id="3"/>
    <w:bookmarkStart w:name="z4" w:id="4"/>
    <w:p>
      <w:pPr>
        <w:spacing w:after="0"/>
        <w:ind w:left="0"/>
        <w:jc w:val="both"/>
      </w:pPr>
      <w:r>
        <w:rPr>
          <w:rFonts w:ascii="Times New Roman"/>
          <w:b w:val="false"/>
          <w:i w:val="false"/>
          <w:color w:val="000000"/>
          <w:sz w:val="28"/>
        </w:rPr>
        <w:t>
      сыртқы экономикалық қызметке қатысушылардың меншік нысандары бойынша;</w:t>
      </w:r>
    </w:p>
    <w:bookmarkEnd w:id="4"/>
    <w:bookmarkStart w:name="z5" w:id="5"/>
    <w:p>
      <w:pPr>
        <w:spacing w:after="0"/>
        <w:ind w:left="0"/>
        <w:jc w:val="both"/>
      </w:pPr>
      <w:r>
        <w:rPr>
          <w:rFonts w:ascii="Times New Roman"/>
          <w:b w:val="false"/>
          <w:i w:val="false"/>
          <w:color w:val="000000"/>
          <w:sz w:val="28"/>
        </w:rPr>
        <w:t>
      сыртқы экономикалық қызметке қатысушылардың әкімшілік-аумақтық тиесілігі бойынша қолдануды қамтамасыз етуді ұсынады.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