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9016" w14:textId="6539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12 шешімі</w:t>
      </w:r>
    </w:p>
    <w:p>
      <w:pPr>
        <w:spacing w:after="0"/>
        <w:ind w:left="0"/>
        <w:jc w:val="left"/>
      </w:pPr>
    </w:p>
    <w:bookmarkStart w:name="z1" w:id="0"/>
    <w:p>
      <w:pPr>
        <w:spacing w:after="0"/>
        <w:ind w:left="0"/>
        <w:jc w:val="both"/>
      </w:pPr>
      <w:r>
        <w:rPr>
          <w:rFonts w:ascii="Times New Roman"/>
          <w:b w:val="false"/>
          <w:i w:val="false"/>
          <w:color w:val="000000"/>
          <w:sz w:val="28"/>
        </w:rPr>
        <w:t>
      Еуразиялық экономикалық комиссия Еуразиялық экономикалық одаққа мүше мемлекеттермен бірлесіп Еуразиялық экономикалық одақ шеңберінде интеграциялық процестерді одан әрі дамыту туралы декларация жобасын әзірлесін және Жоғары Еуразиялық экономикалық кеңестің кезекті отырысында қарауға ұсынсын.</w:t>
      </w:r>
    </w:p>
    <w:bookmarkEnd w:id="0"/>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