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ae52b" w14:textId="8bae5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Центраторларды Еуразиялық экономикалық одақтың сыртқы экономикалық қызметінің Бірыңғай тауар номенклатурасына сәйкес сыныптау туралы</w:t>
      </w:r>
    </w:p>
    <w:p>
      <w:pPr>
        <w:spacing w:after="0"/>
        <w:ind w:left="0"/>
        <w:jc w:val="both"/>
      </w:pPr>
      <w:r>
        <w:rPr>
          <w:rFonts w:ascii="Times New Roman"/>
          <w:b w:val="false"/>
          <w:i w:val="false"/>
          <w:color w:val="000000"/>
          <w:sz w:val="28"/>
        </w:rPr>
        <w:t>Еуразиялық экономикалық комиссия Алқасының 2018 жылғы 13 наурыздағы № 38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22-бабы </w:t>
      </w:r>
      <w:r>
        <w:rPr>
          <w:rFonts w:ascii="Times New Roman"/>
          <w:b w:val="false"/>
          <w:i w:val="false"/>
          <w:color w:val="000000"/>
          <w:sz w:val="28"/>
        </w:rPr>
        <w:t>1-тармағының</w:t>
      </w:r>
      <w:r>
        <w:rPr>
          <w:rFonts w:ascii="Times New Roman"/>
          <w:b w:val="false"/>
          <w:i w:val="false"/>
          <w:color w:val="000000"/>
          <w:sz w:val="28"/>
        </w:rPr>
        <w:t xml:space="preserve"> бірінші абзацына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Қара металдан әзірленген, мұнай және газ ұңғымаларын бекіту кезінде шегендеу бағанын түсіру кезіндегі үйкеліс күшін төмендету, ұңғыма діңгегін цементтеу кезіндегі шегендеу бағанын ортаға дәлдеу үшін қолданылатын шегендеу бағанының тірек-ортаға дәлдеу элементтері болып табылатын қатты және серіппелі центраторлар сыртқы экономикалық қызметтің тауар номенклатурасына  Түсіндірмелердің 1-негізгі қағидасына сәйкес Еуразиялық экономикалық одақтың сыртқы экономикалық қызметінің Бірыңғай тауар номенклатурасының 7326 тауар позициясында сыныпталады.</w:t>
      </w:r>
    </w:p>
    <w:bookmarkEnd w:id="1"/>
    <w:bookmarkStart w:name="z3" w:id="2"/>
    <w:p>
      <w:pPr>
        <w:spacing w:after="0"/>
        <w:ind w:left="0"/>
        <w:jc w:val="both"/>
      </w:pPr>
      <w:r>
        <w:rPr>
          <w:rFonts w:ascii="Times New Roman"/>
          <w:b w:val="false"/>
          <w:i w:val="false"/>
          <w:color w:val="000000"/>
          <w:sz w:val="28"/>
        </w:rPr>
        <w:t>
      2. Тірек-ортаға дәлдеу құрылғылары болып табылатын, мұнай және газ ұңғымаларын бұрғылау кезінде бұрғылау бағанының төменгі бөлігін және кенжарлық қозғалтқышты ортаға дәлдеу, кенжарлық қозғалтқыштың корпусына немесе ауырлатылған бұрғылау құбырларына орнатылатын ұңғыма діңгегін тұрақтандыру немесе бағытын өзгерту үшін қолданылатын бұрғылау центраторлары сыртқы экономикалық қызметтің тауар номенклатурасына Түсіндірмелердің 1 және 6-негізгі қағидаларына сәйкес Еуразиялық экономикалық одақтың сыртқы экономикалық қызметінің Бірыңғай тауар номенклатурасының 84 31 43 000 0 қосалқы позициясында сыныпталады (бұрғылау центраторлары кескіндерінің үлгілері қосымшада берілген).</w:t>
      </w:r>
    </w:p>
    <w:bookmarkEnd w:id="2"/>
    <w:bookmarkStart w:name="z4" w:id="3"/>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13 наурыздағы</w:t>
            </w:r>
            <w:r>
              <w:br/>
            </w:r>
            <w:r>
              <w:rPr>
                <w:rFonts w:ascii="Times New Roman"/>
                <w:b w:val="false"/>
                <w:i w:val="false"/>
                <w:color w:val="000000"/>
                <w:sz w:val="20"/>
              </w:rPr>
              <w:t>№ 38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Қатты центратор кескінінің</w:t>
      </w:r>
      <w:r>
        <w:br/>
      </w:r>
      <w:r>
        <w:rPr>
          <w:rFonts w:ascii="Times New Roman"/>
          <w:b/>
          <w:i w:val="false"/>
          <w:color w:val="000000"/>
        </w:rPr>
        <w:t>ҮЛГІСІ</w:t>
      </w:r>
    </w:p>
    <w:bookmarkEnd w:id="4"/>
    <w:p>
      <w:pPr>
        <w:spacing w:after="0"/>
        <w:ind w:left="0"/>
        <w:jc w:val="left"/>
      </w:pPr>
      <w:r>
        <w:br/>
      </w:r>
    </w:p>
    <w:p>
      <w:pPr>
        <w:spacing w:after="0"/>
        <w:ind w:left="0"/>
        <w:jc w:val="both"/>
      </w:pPr>
      <w:r>
        <w:drawing>
          <wp:inline distT="0" distB="0" distL="0" distR="0">
            <wp:extent cx="35433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433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 w:id="5"/>
    <w:p>
      <w:pPr>
        <w:spacing w:after="0"/>
        <w:ind w:left="0"/>
        <w:jc w:val="left"/>
      </w:pPr>
      <w:r>
        <w:rPr>
          <w:rFonts w:ascii="Times New Roman"/>
          <w:b/>
          <w:i w:val="false"/>
          <w:color w:val="000000"/>
        </w:rPr>
        <w:t xml:space="preserve"> Серіппелі центраторлар кескіндерінің</w:t>
      </w:r>
      <w:r>
        <w:br/>
      </w:r>
      <w:r>
        <w:rPr>
          <w:rFonts w:ascii="Times New Roman"/>
          <w:b/>
          <w:i w:val="false"/>
          <w:color w:val="000000"/>
        </w:rPr>
        <w:t>ҮЛГІЛЕРІ</w:t>
      </w:r>
    </w:p>
    <w:bookmarkEnd w:id="5"/>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43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 w:id="6"/>
    <w:p>
      <w:pPr>
        <w:spacing w:after="0"/>
        <w:ind w:left="0"/>
        <w:jc w:val="left"/>
      </w:pPr>
      <w:r>
        <w:rPr>
          <w:rFonts w:ascii="Times New Roman"/>
          <w:b/>
          <w:i w:val="false"/>
          <w:color w:val="000000"/>
        </w:rPr>
        <w:t xml:space="preserve"> Бұрғылау центраторлары кескіндерінің</w:t>
      </w:r>
      <w:r>
        <w:br/>
      </w:r>
      <w:r>
        <w:rPr>
          <w:rFonts w:ascii="Times New Roman"/>
          <w:b/>
          <w:i w:val="false"/>
          <w:color w:val="000000"/>
        </w:rPr>
        <w:t>ҮЛГІЛЕРІ</w:t>
      </w:r>
    </w:p>
    <w:bookmarkEnd w:id="6"/>
    <w:p>
      <w:pPr>
        <w:spacing w:after="0"/>
        <w:ind w:left="0"/>
        <w:jc w:val="left"/>
      </w:pPr>
      <w:r>
        <w:br/>
      </w:r>
    </w:p>
    <w:p>
      <w:pPr>
        <w:spacing w:after="0"/>
        <w:ind w:left="0"/>
        <w:jc w:val="both"/>
      </w:pPr>
      <w:r>
        <w:drawing>
          <wp:inline distT="0" distB="0" distL="0" distR="0">
            <wp:extent cx="5588000" cy="1002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588000" cy="10020300"/>
                    </a:xfrm>
                    <a:prstGeom prst="rect">
                      <a:avLst/>
                    </a:prstGeom>
                  </pic:spPr>
                </pic:pic>
              </a:graphicData>
            </a:graphic>
          </wp:inline>
        </w:drawing>
      </w:r>
    </w:p>
    <w:p>
      <w:pPr>
        <w:spacing w:after="0"/>
        <w:ind w:left="0"/>
        <w:jc w:val="both"/>
      </w:pPr>
      <w:r>
        <w:drawing>
          <wp:inline distT="0" distB="0" distL="0" distR="0">
            <wp:extent cx="3175000" cy="238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75000" cy="238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