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5e8b" w14:textId="05c5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21 тамыздағы № 129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Балық өсіруге арналған жабдықтың ЕАЭО СЭҚ ТН 8905 90 100 1 және 8907 90 000 1 кодтарымен сыныпталатын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№54 шешіміне қосымша) кедендік әкелу баждарының ставкалары осы Шешім күшіне енген күннен бастап қоса алғанда 2019 жылғы 31 желтоқсанға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 кедендік тарифіне (Еуразиялық экономикалық комиссия Кеңесінің 2012 жылғы 16 шілдедегі №54 шешіміне қосымша)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8905 90 100 1 және 8907 90 000 1 кодтары бар позициялар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24С)</w:t>
      </w:r>
      <w:r>
        <w:rPr>
          <w:rFonts w:ascii="Times New Roman"/>
          <w:b w:val="false"/>
          <w:i w:val="false"/>
          <w:color w:val="000000"/>
          <w:sz w:val="28"/>
        </w:rPr>
        <w:t>" ескертпесіне сілтемемен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24С ескертпесімен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24С)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Алқасының 2018 жылғы 21 тамыздағы №129 шешімі күшіне енген күннен бастап қоса алғанда 31.12.2019 дейінгі аралықта қолданылады.".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