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7e73" w14:textId="efb7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 үшін айтарлықтай маңызды болып табылатын және оларға қатысты айрықша жағдайларда экспорттауға уақытша тыйым салулар немесе сан жағынан шектеулер енгізілуі мүмкін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164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2016 жылғы 26 шілдедегі № 83 шешімімен бекітілген, Еуразиялық экономикалық одақтың ішкі нарығы үшін айтарлықтай маңызды болып табылатын және оларға қатысты айрықша жағдайларда экспорттауға уақытша тыйым салулар немесе сан жағынан шектеулер енгізілуі мүмкін тауарлардың тізбесі ЕАЭО СЭҚ ТН "4106 32 000 0" коды бар позициясынан кейін мынадай мазмұндағы позициялармен толықтырылсын:</w:t>
      </w:r>
    </w:p>
    <w:bookmarkEnd w:id="0"/>
    <w:p>
      <w:pPr>
        <w:spacing w:after="0"/>
        <w:ind w:left="0"/>
        <w:jc w:val="both"/>
      </w:pPr>
      <w:r>
        <w:rPr>
          <w:rFonts w:ascii="Times New Roman"/>
          <w:b w:val="false"/>
          <w:i w:val="false"/>
          <w:color w:val="000000"/>
          <w:sz w:val="28"/>
        </w:rPr>
        <w:t>
      "4401 бөрене түріндегі ағаш отыны, діңгектер, бұтақтар, қарапайым түрдегі немесе бұта бумасы; жаңқа немесе жоңқа түріндегі ағаш, үгінді және ағаш қалдықтары және агломерацияланған немесе агломерацияланбаған ағаш түріндегі скрап, брикеттер,</w:t>
      </w:r>
    </w:p>
    <w:p>
      <w:pPr>
        <w:spacing w:after="0"/>
        <w:ind w:left="0"/>
        <w:jc w:val="both"/>
      </w:pPr>
      <w:r>
        <w:rPr>
          <w:rFonts w:ascii="Times New Roman"/>
          <w:b w:val="false"/>
          <w:i w:val="false"/>
          <w:color w:val="000000"/>
          <w:sz w:val="28"/>
        </w:rPr>
        <w:t>
      түйіршік немесе қарапайым түрдегі ағаш отыны 4403 қабығы алынған немесе алынбаған немесе үстіңгі қабатымен, қомақты кесектелген немесе кесектелмеген өңделмеген ағаш материалдары</w:t>
      </w:r>
    </w:p>
    <w:p>
      <w:pPr>
        <w:spacing w:after="0"/>
        <w:ind w:left="0"/>
        <w:jc w:val="both"/>
      </w:pPr>
      <w:r>
        <w:rPr>
          <w:rFonts w:ascii="Times New Roman"/>
          <w:b w:val="false"/>
          <w:i w:val="false"/>
          <w:color w:val="000000"/>
          <w:sz w:val="28"/>
        </w:rPr>
        <w:t>
      4404 бөшкелік сүрек; жарылған бөренелер; ағаштан жасалған, үшкірленген, бірақ ұзына бойы кесілмеген қадалар, қазықтар және бағандар; таяқтар, қолшатырлар, құралдардың немесе ұқсас бұйымдардың тұтқаларын жасау үшін пайдаланылатын ағаш материалдары, қомақты жонылған, бірақ ұшталмаған, майыстырылмаған немесе басқа тәсілмен өңделмеген ағаш материалдары;</w:t>
      </w:r>
    </w:p>
    <w:p>
      <w:pPr>
        <w:spacing w:after="0"/>
        <w:ind w:left="0"/>
        <w:jc w:val="both"/>
      </w:pPr>
      <w:r>
        <w:rPr>
          <w:rFonts w:ascii="Times New Roman"/>
          <w:b w:val="false"/>
          <w:i w:val="false"/>
          <w:color w:val="000000"/>
          <w:sz w:val="28"/>
        </w:rPr>
        <w:t>
      4406 теміржол немесе трамвай жолдары үшін ағаш шпалдары</w:t>
      </w:r>
    </w:p>
    <w:p>
      <w:pPr>
        <w:spacing w:after="0"/>
        <w:ind w:left="0"/>
        <w:jc w:val="both"/>
      </w:pPr>
      <w:r>
        <w:rPr>
          <w:rFonts w:ascii="Times New Roman"/>
          <w:b w:val="false"/>
          <w:i w:val="false"/>
          <w:color w:val="000000"/>
          <w:sz w:val="28"/>
        </w:rPr>
        <w:t>
      4407  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