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baa4" w14:textId="1e2b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 шеңберіндегі ортақ процестер тізбесіне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30 қазандағы № 177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ақпараттық-коммуникациялық технологиялар және ақпараттық өзара іс-қимыл туралы хаттаманың (2014 жылғы 29 мамырдағы Еуразиялық экономикалық одақ туралы шартқа №3 қосымша)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2015 жылғы 14 сәуірдегі № 29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Еуразиялық экономикалық одақ шеңберіндегі ортақ процестер тізбесі мынадай мазмұндағы ХХІ бөліммен толықтырылсын: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"XХІ. Еуразиялық экономикалық одақ шеңберінде өнеркәсіптік ынтымақтастықты ұйымдастыруға байланысты процестерді ақпараттық қамтамасыз ету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Еуразиялық экономикалық одақтың және Еуразиялық экономикалық одаққа мүше мемлекеттер өнеркәсібінің цифрлық трансформациясы шеңберлерінде өнеркәсіптік ынтымақтастықтың цифрлық трансформациясы үшін жағдайлар жасау мақсатында Еуразия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лық қосалқы келісімшарт жасасу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технологиялар трансфері желілерінің қатысушылары арасында ақпарат алмасуды қамтамасыз ету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 тоқсан".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