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8485" w14:textId="8ea8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10 қарашадағы № 148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20 қарашадағы № 188 шешімі</w:t>
      </w:r>
    </w:p>
    <w:p>
      <w:pPr>
        <w:spacing w:after="0"/>
        <w:ind w:left="0"/>
        <w:jc w:val="both"/>
      </w:pPr>
      <w:bookmarkStart w:name="z1"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111-тармағына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2015 жылғы 10 қарашадағы "Қытай Халық Республикасынан шығарылатын және Еуразиялық экономикалық одақтың кедендік аумағына әкелінетін, қуаты 250 а.к. дейінгі бұрылмайтын және бұрылатын қайырмасы бар шынжыр табанды бульдозерлерге қатысты демпингке қарсы шара қолдану туралы" № 148 шешіміне қосымша Tianjin Liugong Machinery Co., Ltd. (No. 203, Jingsan Road, Tianjin Airport Economic Area, China) деген өндірушінің атауы бар абзацтың алдынан екінші және үшінші бағандарда мынадай мазмұндағы абзацпен толықтырылсын: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"Caterpillar (Qingzhou) Ltd. (No. 12999</w:t>
            </w:r>
            <w:r>
              <w:rPr>
                <w:rFonts w:ascii="Times New Roman"/>
                <w:b w:val="false"/>
                <w:i w:val="false"/>
                <w:color w:val="000000"/>
                <w:sz w:val="20"/>
              </w:rPr>
              <w:t xml:space="preserve"> </w:t>
            </w:r>
            <w:r>
              <w:rPr>
                <w:rFonts w:ascii="Times New Roman"/>
                <w:b/>
                <w:i w:val="false"/>
                <w:color w:val="000000"/>
                <w:sz w:val="20"/>
              </w:rPr>
              <w:t>Nanhuan Road, Qingzhou City, Shandong Province, China, 262500)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18,50".</w:t>
            </w:r>
          </w:p>
        </w:tc>
      </w:tr>
    </w:tbl>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bookmarkEnd w:id="2"/>
    <w:p>
      <w:pPr>
        <w:spacing w:after="0"/>
        <w:ind w:left="0"/>
        <w:jc w:val="both"/>
      </w:pPr>
      <w:r>
        <w:rPr>
          <w:rFonts w:ascii="Times New Roman"/>
          <w:b w:val="false"/>
          <w:i w:val="false"/>
          <w:color w:val="000000"/>
          <w:sz w:val="28"/>
        </w:rPr>
        <w:t xml:space="preserve">
      Caterpillar (Qingzhou) Ltd. (No. 12999 Nanhuan Road, Qingzhou City, Shandong Province, China, 262500) шығарған және Еуразиялық экономикалық одақтың кедендік аумағына 2017 жылғы 24 қарашадан бастап 2018 жылғы 20 қарашаға дейінгі кезең аралығындағы әкелінген, қуаты 250 а.к. дейінгі бұрылмайтын және бұрылатын қайырмасы бар шынжыр табанды бульдозерлерге қатысты демпингке қарсы баж төлеуді қамтамасыз ету сомасын кедендік құнның 18,50 пайызы мөлшерінде демпингке қарсы баж төлеудің есебіне жатқызуды және оны Үшінші елдерге қатысты арнайы қорғау, демпингке қарсы және өтемақы шараларын қолдану туралы </w:t>
      </w:r>
      <w:r>
        <w:rPr>
          <w:rFonts w:ascii="Times New Roman"/>
          <w:b w:val="false"/>
          <w:i w:val="false"/>
          <w:color w:val="000000"/>
          <w:sz w:val="28"/>
        </w:rPr>
        <w:t>хаттамаға</w:t>
      </w:r>
      <w:r>
        <w:rPr>
          <w:rFonts w:ascii="Times New Roman"/>
          <w:b w:val="false"/>
          <w:i w:val="false"/>
          <w:color w:val="000000"/>
          <w:sz w:val="28"/>
        </w:rPr>
        <w:t xml:space="preserve"> (2014 жылғы 29 мамырдағы Еуразиялық экономикалық одақ туралы шартқа № 8 қосымша) қосымшада көзделген тәртіппен есепке алу мен бөлуді жүзеге асыруды;</w:t>
      </w:r>
    </w:p>
    <w:p>
      <w:pPr>
        <w:spacing w:after="0"/>
        <w:ind w:left="0"/>
        <w:jc w:val="both"/>
      </w:pPr>
      <w:r>
        <w:rPr>
          <w:rFonts w:ascii="Times New Roman"/>
          <w:b w:val="false"/>
          <w:i w:val="false"/>
          <w:color w:val="000000"/>
          <w:sz w:val="28"/>
        </w:rPr>
        <w:t xml:space="preserve">
      кедендік құнның 18,50 пайызы ставкасы бойынша есептелетін демпингке қарсы баж сомасынан асып кететін қамтамасыз ету сомасын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тәртіппен төлеушіге қайтаруды жүзеге асыруды қамтамасыз етсін.</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