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fe4d" w14:textId="521f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11 желтоқсандағы № 204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арналған декларацияны толтыру тәртібі туралы нұсқаулықтың 15-тармағының 34) тармақшасы бесінші абзацтан (кестеден кейін) кейін мынадай мазмұндағы абзацпен толықтырылсын:</w:t>
      </w:r>
    </w:p>
    <w:bookmarkEnd w:id="0"/>
    <w:bookmarkStart w:name="z3" w:id="1"/>
    <w:p>
      <w:pPr>
        <w:spacing w:after="0"/>
        <w:ind w:left="0"/>
        <w:jc w:val="both"/>
      </w:pPr>
      <w:r>
        <w:rPr>
          <w:rFonts w:ascii="Times New Roman"/>
          <w:b w:val="false"/>
          <w:i w:val="false"/>
          <w:color w:val="000000"/>
          <w:sz w:val="28"/>
        </w:rPr>
        <w:t>
      "Егер декларант тауарларды шығарғаннан кейін тарифтік преференцияны қалпына келтіруді жоспарласа, 2-элементте кодтың орнына кеден баждарын төлеу бойынша жеңілдіктердің сыныптауышына сәйкес екі әріпті "ПВ" коды көрсетіледі.</w:t>
      </w:r>
    </w:p>
    <w:bookmarkEnd w:id="1"/>
    <w:bookmarkStart w:name="z4" w:id="2"/>
    <w:p>
      <w:pPr>
        <w:spacing w:after="0"/>
        <w:ind w:left="0"/>
        <w:jc w:val="both"/>
      </w:pPr>
      <w:r>
        <w:rPr>
          <w:rFonts w:ascii="Times New Roman"/>
          <w:b w:val="false"/>
          <w:i w:val="false"/>
          <w:color w:val="000000"/>
          <w:sz w:val="28"/>
        </w:rPr>
        <w:t>
      2. Осы Шешім Еуразиялық экономикалық комиссия Кеңесінің "Тарифтік преференцияларды қалпына келтіру жағдайлары мен шарттарын белгілеу туралы" шешімі күшіне енген күннен бастап, бірақ ерте дегенде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