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d0a6" w14:textId="01cd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Еуразиялық экономикалық одаққа мүше мемлекеттердің бюджеттері арасында кедендік әкелу баждарының сомаларын есепке жатқызу және бөлу туралы</w:t>
      </w:r>
    </w:p>
    <w:p>
      <w:pPr>
        <w:spacing w:after="0"/>
        <w:ind w:left="0"/>
        <w:jc w:val="both"/>
      </w:pPr>
      <w:r>
        <w:rPr>
          <w:rFonts w:ascii="Times New Roman"/>
          <w:b w:val="false"/>
          <w:i w:val="false"/>
          <w:color w:val="000000"/>
          <w:sz w:val="28"/>
        </w:rPr>
        <w:t>Еуразиялық Үкіметаралық Кеңестің 2018 жылғы 27 шілдедегі № 11 Өкімі</w:t>
      </w:r>
    </w:p>
    <w:p>
      <w:pPr>
        <w:spacing w:after="0"/>
        <w:ind w:left="0"/>
        <w:jc w:val="both"/>
      </w:pPr>
      <w:bookmarkStart w:name="z1" w:id="0"/>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54-тармағы,  Еуразиялық экономикалық комиссия туралы ереженің (2014 жылғы 29 мамырдағы Еуразиялық  экономикалық одақ туралы шартқа № 1 қосымша) 43-тармағы 4-тармақшасы негізінде, Еуразиялық экономикалық комиссияның 2017 жылғы Еуразиялық экономикалық одаққа мүше мемлекеттердің бюджеттері арасында кедендік әкелу баждарының  сомаларын  есепке жатқызу және бөлу туралы ақпаратын ескере отырып:</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іске асыру мониторингі бойынша жұмысты жалғастырсын.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