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df51" w14:textId="4c8d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Түсіндірмелердің VI томына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24 сәуірдегі № 3 ұсынымы.</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19-бабына</w:t>
      </w:r>
      <w:r>
        <w:rPr>
          <w:rFonts w:ascii="Times New Roman"/>
          <w:b w:val="false"/>
          <w:i w:val="false"/>
          <w:color w:val="000000"/>
          <w:sz w:val="28"/>
        </w:rPr>
        <w:t xml:space="preserve"> сәйкес</w:t>
      </w:r>
    </w:p>
    <w:bookmarkEnd w:id="0"/>
    <w:bookmarkStart w:name="z5" w:id="1"/>
    <w:p>
      <w:pPr>
        <w:spacing w:after="0"/>
        <w:ind w:left="0"/>
        <w:jc w:val="both"/>
      </w:pPr>
      <w:r>
        <w:rPr>
          <w:rFonts w:ascii="Times New Roman"/>
          <w:b w:val="false"/>
          <w:i w:val="false"/>
          <w:color w:val="000000"/>
          <w:sz w:val="28"/>
        </w:rPr>
        <w:t>
      Еуразиялық экономикалық одаққа мүше мемлекеттерге Еуразиялық экономикалық комиссия Алқасының "Екі қабатты теміржол жолаушылар вагондары компоненттерінің жекелеген түрлеріне қатысты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өзгерістер енгізу туралы" шешімі күшіне енген күннен бастап:</w:t>
      </w:r>
    </w:p>
    <w:bookmarkEnd w:id="1"/>
    <w:bookmarkStart w:name="z6" w:id="2"/>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қызметінің Бірыңғай тауар номенклатурасына Түсіндірмелерді (Еуразиялық экономикалық комиссия Алқасының 2017 жылғы 7 қарашадағы </w:t>
      </w:r>
      <w:r>
        <w:rPr>
          <w:rFonts w:ascii="Times New Roman"/>
          <w:b w:val="false"/>
          <w:i w:val="false"/>
          <w:color w:val="000000"/>
          <w:sz w:val="28"/>
        </w:rPr>
        <w:t>№ 21 ұсынымына</w:t>
      </w:r>
      <w:r>
        <w:rPr>
          <w:rFonts w:ascii="Times New Roman"/>
          <w:b w:val="false"/>
          <w:i w:val="false"/>
          <w:color w:val="000000"/>
          <w:sz w:val="28"/>
        </w:rPr>
        <w:t xml:space="preserve"> № 1 қосымша) мынадай өзгерістерді ескере отырып қолдануды ұсынады:</w:t>
      </w:r>
    </w:p>
    <w:bookmarkEnd w:id="2"/>
    <w:bookmarkStart w:name="z7" w:id="3"/>
    <w:p>
      <w:pPr>
        <w:spacing w:after="0"/>
        <w:ind w:left="0"/>
        <w:jc w:val="both"/>
      </w:pPr>
      <w:r>
        <w:rPr>
          <w:rFonts w:ascii="Times New Roman"/>
          <w:b w:val="false"/>
          <w:i w:val="false"/>
          <w:color w:val="000000"/>
          <w:sz w:val="28"/>
        </w:rPr>
        <w:t>
      VІ томның 86-тобында:</w:t>
      </w:r>
    </w:p>
    <w:bookmarkEnd w:id="3"/>
    <w:bookmarkStart w:name="z8" w:id="4"/>
    <w:p>
      <w:pPr>
        <w:spacing w:after="0"/>
        <w:ind w:left="0"/>
        <w:jc w:val="both"/>
      </w:pPr>
      <w:r>
        <w:rPr>
          <w:rFonts w:ascii="Times New Roman"/>
          <w:b w:val="false"/>
          <w:i w:val="false"/>
          <w:color w:val="000000"/>
          <w:sz w:val="28"/>
        </w:rPr>
        <w:t>
      ЕАЭО СЭҚ ТН "8607 11 000 0 – 8607 19 900 0" деген кодтары ЕАЭО СЭҚ ТН "8607 11 000 0 – 8607 19 900 9" деген кодтарымен ауыстырылсын;</w:t>
      </w:r>
    </w:p>
    <w:bookmarkEnd w:id="4"/>
    <w:bookmarkStart w:name="z9" w:id="5"/>
    <w:p>
      <w:pPr>
        <w:spacing w:after="0"/>
        <w:ind w:left="0"/>
        <w:jc w:val="both"/>
      </w:pPr>
      <w:r>
        <w:rPr>
          <w:rFonts w:ascii="Times New Roman"/>
          <w:b w:val="false"/>
          <w:i w:val="false"/>
          <w:color w:val="000000"/>
          <w:sz w:val="28"/>
        </w:rPr>
        <w:t>
      "8607 21 100 0 және 8607 21 900 0" деген сөздер ЕАЭО СЭҚ ТН "8607 21 100 1 – 8607 21 900 9" деген кодтарымен ауыстырылсын.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