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2124" w14:textId="c452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тасымалдау саласында қолданылатын анықтамалықтар мен сыныптауыштар туралы</w:t>
      </w:r>
    </w:p>
    <w:p>
      <w:pPr>
        <w:spacing w:after="0"/>
        <w:ind w:left="0"/>
        <w:jc w:val="both"/>
      </w:pPr>
      <w:r>
        <w:rPr>
          <w:rFonts w:ascii="Times New Roman"/>
          <w:b w:val="false"/>
          <w:i w:val="false"/>
          <w:color w:val="000000"/>
          <w:sz w:val="28"/>
        </w:rPr>
        <w:t>Еуразиялық экономикалық комиссия Алқасының 2019 жылғы 16 сәуірдегі № 67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86-бабына</w:t>
      </w:r>
      <w:r>
        <w:rPr>
          <w:rFonts w:ascii="Times New Roman"/>
          <w:b w:val="false"/>
          <w:i w:val="false"/>
          <w:color w:val="000000"/>
          <w:sz w:val="28"/>
        </w:rPr>
        <w:t xml:space="preserve">, Еуразиялық экономикалық одақ шеңберінде ақпараттық-коммуникациялық технологиялар және ақпараттық өзара іс-қимыл туралы хаттаманың (көрсетілген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жол жүру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тасымалдау түрлерінің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автомобиль көлік құралдары типтерінің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анықтамалықтар мен сыныптауыштар Еуразиялық экономикалық одақтың нормативтік-анықтамалық ақпаратының бірыңғай жүйесі ресурстарының құрамына енгізілсін.</w:t>
      </w:r>
    </w:p>
    <w:bookmarkEnd w:id="1"/>
    <w:bookmarkStart w:name="z4" w:id="2"/>
    <w:p>
      <w:pPr>
        <w:spacing w:after="0"/>
        <w:ind w:left="0"/>
        <w:jc w:val="both"/>
      </w:pPr>
      <w:r>
        <w:rPr>
          <w:rFonts w:ascii="Times New Roman"/>
          <w:b w:val="false"/>
          <w:i w:val="false"/>
          <w:color w:val="000000"/>
          <w:sz w:val="28"/>
        </w:rPr>
        <w:t>
      3. Мынадай:</w:t>
      </w:r>
    </w:p>
    <w:bookmarkEnd w:id="2"/>
    <w:p>
      <w:pPr>
        <w:spacing w:after="0"/>
        <w:ind w:left="0"/>
        <w:jc w:val="both"/>
      </w:pPr>
      <w:r>
        <w:rPr>
          <w:rFonts w:ascii="Times New Roman"/>
          <w:b w:val="false"/>
          <w:i w:val="false"/>
          <w:color w:val="000000"/>
          <w:sz w:val="28"/>
        </w:rPr>
        <w:t>
      осы Шешіммен бекітілген анықтамалар мен сыныптауыштар осы Шешім күшіне енген күннен бастап қолданылады;</w:t>
      </w:r>
    </w:p>
    <w:p>
      <w:pPr>
        <w:spacing w:after="0"/>
        <w:ind w:left="0"/>
        <w:jc w:val="both"/>
      </w:pPr>
      <w:r>
        <w:rPr>
          <w:rFonts w:ascii="Times New Roman"/>
          <w:b w:val="false"/>
          <w:i w:val="false"/>
          <w:color w:val="000000"/>
          <w:sz w:val="28"/>
        </w:rPr>
        <w:t xml:space="preserve">
      осы Шешіммен бекітілген анықтамалықтар мен сыныптауыштардың кодтық белгіленімдерін пайдалану көлік және тасымалдау саласындағы Еуразиялық экономикалық одақ шеңберіндегі жалпы процестерді іске асыру кезінде міндетті болып табылады деп белгіленсін. </w:t>
      </w:r>
    </w:p>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67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Жол жүру түрлерінің АНЫҚТАМАЛЫҒЫ</w:t>
      </w:r>
    </w:p>
    <w:bookmarkEnd w:id="4"/>
    <w:bookmarkStart w:name="z8" w:id="5"/>
    <w:p>
      <w:pPr>
        <w:spacing w:after="0"/>
        <w:ind w:left="0"/>
        <w:jc w:val="left"/>
      </w:pPr>
      <w:r>
        <w:rPr>
          <w:rFonts w:ascii="Times New Roman"/>
          <w:b/>
          <w:i w:val="false"/>
          <w:color w:val="000000"/>
        </w:rPr>
        <w:t xml:space="preserve"> I. Анықтамалықтан алынған егжей-тегжейлі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жүру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жүру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кіру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шығу</w:t>
            </w:r>
          </w:p>
        </w:tc>
      </w:tr>
    </w:tbl>
    <w:bookmarkStart w:name="z9" w:id="6"/>
    <w:p>
      <w:pPr>
        <w:spacing w:after="0"/>
        <w:ind w:left="0"/>
        <w:jc w:val="left"/>
      </w:pPr>
      <w:r>
        <w:rPr>
          <w:rFonts w:ascii="Times New Roman"/>
          <w:b/>
          <w:i w:val="false"/>
          <w:color w:val="000000"/>
        </w:rPr>
        <w:t xml:space="preserve"> II. Анықтамалықтың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1021-2019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67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19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тасымалдаушылар жүзеге асыратын және көліктік (автомобильдік) бақылау нәтижелерін ресімдеу кезінде пайдаланылатын жол жүру түрлерін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түру түрі,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Еуразиялық экономикалық комиссияның актісіне сәйкес оператор орындайды. Оператор анықтамалықтан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Мәні алып тасталған жағдайда анықтамалық жазбасы анықтамалық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күнінен бастап қолданылмайды деп белгіленеді. Анықтамалық кодтары бірегей болып табылады, анықтамалық кодтарын, оның ішінде қолданылмайтын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(анықтамалық алаңшаларының құрамы, олардың мәндерінің саласы және қалыптастыру қағидалары)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егжей-тегжейлі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7"/>
    <w:p>
      <w:pPr>
        <w:spacing w:after="0"/>
        <w:ind w:left="0"/>
        <w:jc w:val="left"/>
      </w:pPr>
      <w:r>
        <w:rPr>
          <w:rFonts w:ascii="Times New Roman"/>
          <w:b/>
          <w:i w:val="false"/>
          <w:color w:val="000000"/>
        </w:rPr>
        <w:t xml:space="preserve"> III. Анықтамалық құрылымының сипаттамасы</w:t>
      </w:r>
    </w:p>
    <w:bookmarkEnd w:id="7"/>
    <w:bookmarkStart w:name="z11" w:id="8"/>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саласын және оларды қалыптастыру қағидаларын айқындайды.</w:t>
      </w:r>
    </w:p>
    <w:bookmarkEnd w:id="8"/>
    <w:bookmarkStart w:name="z12" w:id="9"/>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алаңшалар (бағандар) қалыптастырылады:</w:t>
      </w:r>
    </w:p>
    <w:bookmarkEnd w:id="9"/>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bookmarkStart w:name="z13" w:id="10"/>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10"/>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14" w:id="11"/>
    <w:p>
      <w:pPr>
        <w:spacing w:after="0"/>
        <w:ind w:left="0"/>
        <w:jc w:val="both"/>
      </w:pPr>
      <w:r>
        <w:rPr>
          <w:rFonts w:ascii="Times New Roman"/>
          <w:b w:val="false"/>
          <w:i w:val="false"/>
          <w:color w:val="000000"/>
          <w:sz w:val="28"/>
        </w:rPr>
        <w:t>
      Кесте</w:t>
      </w:r>
    </w:p>
    <w:bookmarkEnd w:id="11"/>
    <w:bookmarkStart w:name="z15" w:id="12"/>
    <w:p>
      <w:pPr>
        <w:spacing w:after="0"/>
        <w:ind w:left="0"/>
        <w:jc w:val="left"/>
      </w:pPr>
      <w:r>
        <w:rPr>
          <w:rFonts w:ascii="Times New Roman"/>
          <w:b/>
          <w:i w:val="false"/>
          <w:color w:val="000000"/>
        </w:rPr>
        <w:t xml:space="preserve"> Анықтамалықтың құрылымы мен деректемелік құрамы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 жүру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Шаблон: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түрінің кодтық белгіленімі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Жол жүру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Қолданысы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67 шешімімен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Тасымалдау түрлерінің СЫНЫПТАУЫШЫ</w:t>
      </w:r>
    </w:p>
    <w:bookmarkEnd w:id="13"/>
    <w:bookmarkStart w:name="z18" w:id="14"/>
    <w:p>
      <w:pPr>
        <w:spacing w:after="0"/>
        <w:ind w:left="0"/>
        <w:jc w:val="left"/>
      </w:pPr>
      <w:r>
        <w:rPr>
          <w:rFonts w:ascii="Times New Roman"/>
          <w:b/>
          <w:i w:val="false"/>
          <w:color w:val="000000"/>
        </w:rPr>
        <w:t xml:space="preserve"> I. Анықтамалықтан алынған егжей-тегжейлі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тұрақты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тұрақты емес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жүктерді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жүктерді тасымалдау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түрлерін тасымалдау</w:t>
            </w:r>
          </w:p>
        </w:tc>
      </w:tr>
    </w:tbl>
    <w:bookmarkStart w:name="z19" w:id="15"/>
    <w:p>
      <w:pPr>
        <w:spacing w:after="0"/>
        <w:ind w:left="0"/>
        <w:jc w:val="left"/>
      </w:pPr>
      <w:r>
        <w:rPr>
          <w:rFonts w:ascii="Times New Roman"/>
          <w:b/>
          <w:i w:val="false"/>
          <w:color w:val="000000"/>
        </w:rPr>
        <w:t xml:space="preserve"> II. Сыныптауыштың паспорты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2050-2019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67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19 мамыр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көліктік (автомобильдік) бақылау нәтижелерін ресімдеу кезінде пайдаланылатын жүк және жолаушылар тасымалдау түрлерін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тасымалдау түрлері, жүк тасымалдау, жолаушылар тасымалдау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сыныптаудың иерархиялық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 жүргізудің орталықтандырылған әдістемесі. Сыныптауыштың мәндерін қосуды, өзгертуді немесе алып тастауды Еуразиялық экономикалық комиссияның актісіне сәйкес оператор орындайды. Оператор сыныптауыштан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Мәні алып тасталған жағдайда сыныптауыш жазбасы сыныптауыш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күнінен бастап қолданылмайды деп белгіленеді. Сыныптауыш кодтары бірегей болып табылады, сыныптауыш кодтарын, оның ішінде қолданылмайтын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(сыныптауыш алаңшаларының құрамы, олардың мәндерінің саласы және қалыптастыру қағидалары)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егжей-тегжейлі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20" w:id="16"/>
    <w:p>
      <w:pPr>
        <w:spacing w:after="0"/>
        <w:ind w:left="0"/>
        <w:jc w:val="left"/>
      </w:pPr>
      <w:r>
        <w:rPr>
          <w:rFonts w:ascii="Times New Roman"/>
          <w:b/>
          <w:i w:val="false"/>
          <w:color w:val="000000"/>
        </w:rPr>
        <w:t xml:space="preserve"> III. Сыныптауыш құрылымының сипаттамасы</w:t>
      </w:r>
    </w:p>
    <w:bookmarkEnd w:id="16"/>
    <w:bookmarkStart w:name="z21" w:id="17"/>
    <w:p>
      <w:pPr>
        <w:spacing w:after="0"/>
        <w:ind w:left="0"/>
        <w:jc w:val="both"/>
      </w:pPr>
      <w:r>
        <w:rPr>
          <w:rFonts w:ascii="Times New Roman"/>
          <w:b w:val="false"/>
          <w:i w:val="false"/>
          <w:color w:val="000000"/>
          <w:sz w:val="28"/>
        </w:rPr>
        <w:t>
      1. Осы бөлім сыныптауыштың құрылымы мен деректемелік құрамын, оның ішінде деректемелер мәндерінің саласын және оларды қалыптастыру қағидаларын айқындайды.</w:t>
      </w:r>
    </w:p>
    <w:bookmarkEnd w:id="17"/>
    <w:bookmarkStart w:name="z22" w:id="18"/>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алаңшалар (бағандар) қалыптастырылады:</w:t>
      </w:r>
    </w:p>
    <w:bookmarkEnd w:id="1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bookmarkStart w:name="z23" w:id="1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19"/>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24" w:id="20"/>
    <w:p>
      <w:pPr>
        <w:spacing w:after="0"/>
        <w:ind w:left="0"/>
        <w:jc w:val="both"/>
      </w:pPr>
      <w:r>
        <w:rPr>
          <w:rFonts w:ascii="Times New Roman"/>
          <w:b w:val="false"/>
          <w:i w:val="false"/>
          <w:color w:val="000000"/>
          <w:sz w:val="28"/>
        </w:rPr>
        <w:t>
      Кесте</w:t>
      </w:r>
    </w:p>
    <w:bookmarkEnd w:id="20"/>
    <w:bookmarkStart w:name="z25" w:id="21"/>
    <w:p>
      <w:pPr>
        <w:spacing w:after="0"/>
        <w:ind w:left="0"/>
        <w:jc w:val="left"/>
      </w:pPr>
      <w:r>
        <w:rPr>
          <w:rFonts w:ascii="Times New Roman"/>
          <w:b/>
          <w:i w:val="false"/>
          <w:color w:val="000000"/>
        </w:rPr>
        <w:t xml:space="preserve"> Сыныптауыштың құрылымы мен деректемелік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Тасымалдау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Шаблон: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түрінің кодтық белгіленімі кодтаудың сериялық-реттік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67 шешімімен</w:t>
            </w:r>
            <w:r>
              <w:br/>
            </w:r>
            <w:r>
              <w:rPr>
                <w:rFonts w:ascii="Times New Roman"/>
                <w:b w:val="false"/>
                <w:i w:val="false"/>
                <w:color w:val="000000"/>
                <w:sz w:val="20"/>
              </w:rPr>
              <w:t>БЕКІТІЛГЕН</w:t>
            </w:r>
          </w:p>
        </w:tc>
      </w:tr>
    </w:tbl>
    <w:bookmarkStart w:name="z27" w:id="22"/>
    <w:p>
      <w:pPr>
        <w:spacing w:after="0"/>
        <w:ind w:left="0"/>
        <w:jc w:val="left"/>
      </w:pPr>
      <w:r>
        <w:rPr>
          <w:rFonts w:ascii="Times New Roman"/>
          <w:b/>
          <w:i w:val="false"/>
          <w:color w:val="000000"/>
        </w:rPr>
        <w:t xml:space="preserve"> Автомобиль көлік құралдары типтерінің СЫНЫПТАУЫШЫ</w:t>
      </w:r>
    </w:p>
    <w:bookmarkEnd w:id="22"/>
    <w:bookmarkStart w:name="z28" w:id="23"/>
    <w:p>
      <w:pPr>
        <w:spacing w:after="0"/>
        <w:ind w:left="0"/>
        <w:jc w:val="left"/>
      </w:pPr>
      <w:r>
        <w:rPr>
          <w:rFonts w:ascii="Times New Roman"/>
          <w:b/>
          <w:i w:val="false"/>
          <w:color w:val="000000"/>
        </w:rPr>
        <w:t xml:space="preserve"> I. Анықтамалықтан алынған егжей-тегжейлі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көлік құралы типінің</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од</w:t>
            </w:r>
            <w:r>
              <w:rPr>
                <w:rFonts w:ascii="Times New Roman"/>
                <w:b/>
                <w:i w:val="false"/>
                <w:color w:val="000000"/>
                <w:sz w:val="20"/>
              </w:rPr>
              <w:t>ы</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көлік құралы типінің</w:t>
            </w:r>
            <w:r>
              <w:rPr>
                <w:rFonts w:ascii="Times New Roman"/>
                <w:b w:val="false"/>
                <w:i w:val="false"/>
                <w:color w:val="000000"/>
                <w:sz w:val="20"/>
              </w:rPr>
              <w:t xml:space="preserve">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кезінде пайдаланылатын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жүк автомобильі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(ершікті) тартқыш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тіркемесі бар автомобильді (ершікті) тартқыш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кезінде пайдаланылатын өзге де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кезінде пайдаланылатын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орнын қоса алғанда, отыруға арналған 9-дан астам орны бар, оның ішінде багажды тасымалдауға арналған тіркемесі бар жолаушылар мен багажды тасымалдауға арналған автомобиль көлік құралы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кезінде пайдаланылатын өзге де көлік құралдары</w:t>
            </w:r>
          </w:p>
        </w:tc>
      </w:tr>
    </w:tbl>
    <w:bookmarkStart w:name="z29" w:id="24"/>
    <w:p>
      <w:pPr>
        <w:spacing w:after="0"/>
        <w:ind w:left="0"/>
        <w:jc w:val="left"/>
      </w:pPr>
      <w:r>
        <w:rPr>
          <w:rFonts w:ascii="Times New Roman"/>
          <w:b/>
          <w:i w:val="false"/>
          <w:color w:val="000000"/>
        </w:rPr>
        <w:t xml:space="preserve"> II. Сыныптауыштың паспорты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 типінің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2050-2019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67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19 мамыр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көліктік (автомобильдік) бақылау нәтижелерін ресімдеу кезінде пайдаланылатын автомобиль көлік құралдарының типтерін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сыныптаудың иерархиялық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 жүргізудің орталықтандырылған әдістемесі. Сыныптауыштың мәндерін қосуды, өзгертуді немесе алып тастауды Еуразиялық экономикалық комиссияның актісіне сәйкес оператор орындайды. Оператор сыныптауыштан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Мәні алып тасталған жағдайда сыныптауыш жазбасы сыныптауыш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күнінен бастап қолданылмайды деп белгіленеді. Сыныптауыш кодтары бірегей болып табылады, сыныптауыш кодтарын, оның ішінде қолданылмайтын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(сыныптауыш алаңшаларының құрамы, олардың мәндерінің саласы және қалыптастыру қағидалары)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егжей-тегжейлі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30" w:id="25"/>
    <w:p>
      <w:pPr>
        <w:spacing w:after="0"/>
        <w:ind w:left="0"/>
        <w:jc w:val="left"/>
      </w:pPr>
      <w:r>
        <w:rPr>
          <w:rFonts w:ascii="Times New Roman"/>
          <w:b/>
          <w:i w:val="false"/>
          <w:color w:val="000000"/>
        </w:rPr>
        <w:t xml:space="preserve"> III. Сыныптауыш құрылымының сипаттамасы</w:t>
      </w:r>
    </w:p>
    <w:bookmarkEnd w:id="25"/>
    <w:bookmarkStart w:name="z31" w:id="26"/>
    <w:p>
      <w:pPr>
        <w:spacing w:after="0"/>
        <w:ind w:left="0"/>
        <w:jc w:val="both"/>
      </w:pPr>
      <w:r>
        <w:rPr>
          <w:rFonts w:ascii="Times New Roman"/>
          <w:b w:val="false"/>
          <w:i w:val="false"/>
          <w:color w:val="000000"/>
          <w:sz w:val="28"/>
        </w:rPr>
        <w:t>
      1. Осы бөлім сыныптауыштың құрылымы мен деректемелік құрамын, оның ішінде деректемелер мәндерінің саласын және оларды қалыптастыру қағидаларын айқындайды.</w:t>
      </w:r>
    </w:p>
    <w:bookmarkEnd w:id="26"/>
    <w:bookmarkStart w:name="z32" w:id="27"/>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алаңшалар (бағандар)  қалыптастырылады:</w:t>
      </w:r>
    </w:p>
    <w:bookmarkEnd w:id="27"/>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bookmarkStart w:name="z33" w:id="28"/>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28"/>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34" w:id="29"/>
    <w:p>
      <w:pPr>
        <w:spacing w:after="0"/>
        <w:ind w:left="0"/>
        <w:jc w:val="both"/>
      </w:pPr>
      <w:r>
        <w:rPr>
          <w:rFonts w:ascii="Times New Roman"/>
          <w:b w:val="false"/>
          <w:i w:val="false"/>
          <w:color w:val="000000"/>
          <w:sz w:val="28"/>
        </w:rPr>
        <w:t>
      Кесте</w:t>
      </w:r>
    </w:p>
    <w:bookmarkEnd w:id="29"/>
    <w:bookmarkStart w:name="z35" w:id="30"/>
    <w:p>
      <w:pPr>
        <w:spacing w:after="0"/>
        <w:ind w:left="0"/>
        <w:jc w:val="left"/>
      </w:pPr>
      <w:r>
        <w:rPr>
          <w:rFonts w:ascii="Times New Roman"/>
          <w:b/>
          <w:i w:val="false"/>
          <w:color w:val="000000"/>
        </w:rPr>
        <w:t xml:space="preserve"> Сыныптауыштың құрылымы мен деректемелік құрамы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көлік құралдарының типтері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Автомобиль көлік құралы типінің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Шаблон: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 типінің кодтық белгіленімі кодтаудың сериялық-реттік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 типінің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