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4b88" w14:textId="bb74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металл илемдеу орнақтарына арналған болаттан құйылған біліктерге қатысты демпингке қарсы шаралардың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82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 одағы Комиссиясының "Кеден одағында илемдеу орнақтарына арналған болаттан құйылған біліктерді өндірушілердің экономикалық мүдделерін қорғау жөніндегі шаралар туралы" 2011 жылғы 9 желтоқсандағы № 904 шешімімен белгіленген демпингке қарсы шаралардың қолданылуы қоса алғанда 2020 жылғы 25 ақпанға дейін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2020 жылғы 25 ақпанға дейінгі аралықта алдын ала демпингке қарсы баждарды алу үшін белгіленген тәртіпте Кеден одағы Комиссиясының 2011 жылғы 9 желтоқсандағы № 904 шешімімен белгіленген ставка бойынша демпингке қарсы бажды алуды қамтамасыз етсін.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2019 жылғы 26 маусымнан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