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81a2" w14:textId="8378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 кезінде пайдаланылатын қосалқы заттардың функционалдық мақсаттарының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18 маусымдағы № 103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заттарды өндіру кезінде пайдаланылатын қосалқы заттардың функционалдық мақсаттарының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белгіленімдерін пайдалану Еуразиялық экономикалық одақ шеңберінде дәрілік заттардың айналысы саласындағы жалпы процестерді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18 маусымдағы</w:t>
            </w:r>
            <w:r>
              <w:br/>
            </w:r>
            <w:r>
              <w:rPr>
                <w:rFonts w:ascii="Times New Roman"/>
                <w:b w:val="false"/>
                <w:i w:val="false"/>
                <w:color w:val="000000"/>
                <w:sz w:val="20"/>
              </w:rPr>
              <w:t>№ 103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Дәрілік заттарды өндіру кезінде пайдаланылатын қосалқы заттардың функционалдық мақсаттарының АНЫҚТАМАЛЫҒЫ</w:t>
      </w:r>
    </w:p>
    <w:bookmarkEnd w:id="3"/>
    <w:bookmarkStart w:name="z8" w:id="4"/>
    <w:p>
      <w:pPr>
        <w:spacing w:after="0"/>
        <w:ind w:left="0"/>
        <w:jc w:val="left"/>
      </w:pPr>
      <w:r>
        <w:rPr>
          <w:rFonts w:ascii="Times New Roman"/>
          <w:b/>
          <w:i w:val="false"/>
          <w:color w:val="000000"/>
        </w:rPr>
        <w:t xml:space="preserve"> I. Анықтамалықтан алынған нақтыланған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заттың функционалдық мақсатының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 өндіру кезінде пайдаланылатын қосалқы заттың функционалдық мақсаттарының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адгезивтік 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 агент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жылтыратқыш (жылтырататын агент)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құраушы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корригенті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корригенті (ароматизатор)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толтырушы 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 түзуші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реттеуші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солюбилизатор (қосалқы еріткіш)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суспенгатор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дымқылдауыш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bl>
    <w:bookmarkStart w:name="z9" w:id="5"/>
    <w:p>
      <w:pPr>
        <w:spacing w:after="0"/>
        <w:ind w:left="0"/>
        <w:jc w:val="left"/>
      </w:pPr>
      <w:r>
        <w:rPr>
          <w:rFonts w:ascii="Times New Roman"/>
          <w:b/>
          <w:i w:val="false"/>
          <w:color w:val="000000"/>
        </w:rPr>
        <w:t xml:space="preserve"> II. Анықтамалықтың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кезінде пайдаланылатын қосалқы заттардың функционалдық мақсаттарының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ҚЗФМА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020-2019 (1-редакция)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18 маусымдағы № 103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18 маусымдағы № 103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Ресей Федерациясының Денсаулық сақтау министрлігі. Уәкілетті ұйым: Ресей Федерациясының Денсаулық сақтау министрлігінің "Медициналық қолдануға арналған бұйымдарды сараптау ұлттық орталығы" федералдық мемлекеттік бюджеттік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дәрілік заттардың құрамына енгізілген қосалқы заттардың функционалдық мақсаттары туралы мәліметтерді жүйелеуге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 субъектілерінің Еуразиялық экономикалық одаққа мүше мемлекеттердің мемлекеттік органдарына ұсынатын құжаттарын, оның ішінде электрондық түрде ұсынатын құжаттарын қалыптастыру кезінде, сондай-ақ Еуразиялық экономикалық одақ шеңберінде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қосалқы зат, дәрілік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 әзірленген кезде халықаралық (мемлекетаралық, өңіраралық) анықтамалықтар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Еуразиялық экономикалық одаққа мүше мемлекеттерде анықтамалықтың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–хронологиялық қағидат бойынша жүйелеудің реттік әдісі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жүргізудің орталықтандырылған әдістемесі. Анықтамалықтағы мәндерді толықтыруды, өзгертуді немесе алып тастауды Еуразиялық экономикалық одақтың актісіне сәйкес оператор орындайды. Мән алып тасталған жағдайда, анықтамалықтағы жазба қолданысының аяқталғанын регламенттейтін Еуразиялық экономикалық комиссияның актісі туралы мәліметтер көрсетіле отырып, анықтамалықтағы жазба алып тасталған күнінен бастап жарамсыз ретінде белгіленеді. Дәрілік заттарды өндіру кезінде пайдаланылатын қосалқы заттардың функционалдық мақсаттарының кодтары бірегей болып табылады,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(анықтамалық жолдарының құрамы, олардың мәндерінің саласы және қалыптастыру қағидасы)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нақтыланған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нақтыланған  мәліметтер осы анықтамалықтың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Анықтамалық құрылымының сипаттамасы</w:t>
      </w:r>
    </w:p>
    <w:bookmarkEnd w:id="6"/>
    <w:bookmarkStart w:name="z11" w:id="7"/>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анықтайды.</w:t>
      </w:r>
    </w:p>
    <w:bookmarkEnd w:id="7"/>
    <w:bookmarkStart w:name="z12" w:id="8"/>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жолдар (бағандар) қалыптастырылады:</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қалыптастырудың (толтырудың) қағидаларын анықтайтын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(міндеттілігі (опционалдығы) және деректеменің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тиіc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Анықтамалықтың құрылымы және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w:t>
            </w:r>
            <w:r>
              <w:rPr>
                <w:rFonts w:ascii="Times New Roman"/>
                <w:b w:val="false"/>
                <w:i w:val="false"/>
                <w:color w:val="000000"/>
                <w:sz w:val="20"/>
              </w:rPr>
              <w:t xml:space="preserve"> </w:t>
            </w:r>
            <w:r>
              <w:rPr>
                <w:rFonts w:ascii="Times New Roman"/>
                <w:b/>
                <w:i w:val="false"/>
                <w:color w:val="000000"/>
                <w:sz w:val="20"/>
              </w:rPr>
              <w:t>мәнін</w:t>
            </w:r>
            <w:r>
              <w:rPr>
                <w:rFonts w:ascii="Times New Roman"/>
                <w:b w:val="false"/>
                <w:i w:val="false"/>
                <w:color w:val="000000"/>
                <w:sz w:val="20"/>
              </w:rPr>
              <w:t xml:space="preserve"> </w:t>
            </w:r>
            <w:r>
              <w:rPr>
                <w:rFonts w:ascii="Times New Roman"/>
                <w:b/>
                <w:i w:val="false"/>
                <w:color w:val="000000"/>
                <w:sz w:val="20"/>
              </w:rPr>
              <w:t>қалыптастырудың</w:t>
            </w:r>
            <w:r>
              <w:rPr>
                <w:rFonts w:ascii="Times New Roman"/>
                <w:b w:val="false"/>
                <w:i w:val="false"/>
                <w:color w:val="000000"/>
                <w:sz w:val="20"/>
              </w:rPr>
              <w:t xml:space="preserve"> </w:t>
            </w:r>
            <w:r>
              <w:rPr>
                <w:rFonts w:ascii="Times New Roman"/>
                <w:b/>
                <w:i w:val="false"/>
                <w:color w:val="000000"/>
                <w:sz w:val="20"/>
              </w:rPr>
              <w:t>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құрамындағы қосалқы заттың функционалдық мақсаты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Қосалқы заттың функционалдық мақсатының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Қосалқы заттың функционалдық мақсатының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Қолданылуы басталатын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күннің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Анықтамалықтың (сыныптауыштың) жазбасы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күннің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күннің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Анықтамалықтың (сыныптауыштың) жазбасы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күннің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